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7A" w:rsidRPr="00CD104C" w:rsidRDefault="0032147A" w:rsidP="0032147A"/>
    <w:p w:rsidR="0032147A" w:rsidRPr="00CD104C" w:rsidRDefault="0032147A" w:rsidP="0032147A"/>
    <w:p w:rsidR="0032147A" w:rsidRPr="00CD104C" w:rsidRDefault="0032147A" w:rsidP="0032147A">
      <w:pPr>
        <w:rPr>
          <w:i/>
          <w:sz w:val="56"/>
          <w:szCs w:val="56"/>
        </w:rPr>
      </w:pPr>
    </w:p>
    <w:p w:rsidR="0032147A" w:rsidRPr="00CD104C" w:rsidRDefault="0032147A" w:rsidP="0032147A">
      <w:pPr>
        <w:rPr>
          <w:i/>
          <w:sz w:val="56"/>
          <w:szCs w:val="56"/>
        </w:rPr>
      </w:pPr>
    </w:p>
    <w:p w:rsidR="0032147A" w:rsidRPr="00CD104C" w:rsidRDefault="0032147A" w:rsidP="0032147A">
      <w:pPr>
        <w:rPr>
          <w:i/>
          <w:sz w:val="56"/>
          <w:szCs w:val="56"/>
        </w:rPr>
      </w:pPr>
    </w:p>
    <w:p w:rsidR="0032147A" w:rsidRPr="00CD104C" w:rsidRDefault="0032147A" w:rsidP="0032147A">
      <w:pPr>
        <w:rPr>
          <w:i/>
          <w:sz w:val="56"/>
          <w:szCs w:val="56"/>
        </w:rPr>
      </w:pPr>
    </w:p>
    <w:p w:rsidR="0032147A" w:rsidRPr="00CD104C" w:rsidRDefault="0032147A" w:rsidP="0032147A">
      <w:pPr>
        <w:rPr>
          <w:i/>
          <w:sz w:val="56"/>
          <w:szCs w:val="56"/>
        </w:rPr>
      </w:pPr>
    </w:p>
    <w:p w:rsidR="0032147A" w:rsidRPr="00CD104C" w:rsidRDefault="0032147A" w:rsidP="0032147A">
      <w:pPr>
        <w:rPr>
          <w:i/>
          <w:sz w:val="56"/>
          <w:szCs w:val="56"/>
        </w:rPr>
      </w:pPr>
    </w:p>
    <w:p w:rsidR="0032147A" w:rsidRPr="00CD104C" w:rsidRDefault="0032147A" w:rsidP="0032147A">
      <w:pPr>
        <w:rPr>
          <w:i/>
          <w:sz w:val="56"/>
          <w:szCs w:val="56"/>
        </w:rPr>
      </w:pPr>
      <w:r w:rsidRPr="00CD104C">
        <w:rPr>
          <w:i/>
          <w:sz w:val="56"/>
          <w:szCs w:val="56"/>
        </w:rPr>
        <w:t>Kulturaftale 2021-24 mellem kulturministeren og Kulturregion [indsæt navn]</w:t>
      </w:r>
    </w:p>
    <w:p w:rsidR="0032147A" w:rsidRPr="00CD104C" w:rsidRDefault="0032147A" w:rsidP="0032147A">
      <w:pPr>
        <w:rPr>
          <w:i/>
        </w:rPr>
      </w:pPr>
      <w:r w:rsidRPr="00CD104C">
        <w:rPr>
          <w:i/>
        </w:rPr>
        <w:br w:type="page"/>
      </w:r>
    </w:p>
    <w:p w:rsidR="0032147A" w:rsidRPr="00CD104C" w:rsidRDefault="0032147A" w:rsidP="0032147A"/>
    <w:p w:rsidR="0032147A" w:rsidRPr="00CD104C" w:rsidRDefault="0032147A" w:rsidP="0032147A">
      <w:r w:rsidRPr="00CD104C">
        <w:t>Aftalegrundlaget består af nærværende aftale med seks integrerede, obligatoriske bilag:</w:t>
      </w:r>
    </w:p>
    <w:p w:rsidR="0032147A" w:rsidRPr="00CD104C" w:rsidRDefault="0032147A" w:rsidP="0032147A"/>
    <w:p w:rsidR="0032147A" w:rsidRPr="00CD104C" w:rsidRDefault="0032147A" w:rsidP="0032147A">
      <w:r w:rsidRPr="00CD104C">
        <w:t xml:space="preserve">Bilag 1 </w:t>
      </w:r>
      <w:proofErr w:type="spellStart"/>
      <w:r w:rsidRPr="00CD104C">
        <w:t>Omverdensanalyse</w:t>
      </w:r>
      <w:proofErr w:type="spellEnd"/>
    </w:p>
    <w:p w:rsidR="0032147A" w:rsidRPr="00CD104C" w:rsidRDefault="0032147A" w:rsidP="0032147A">
      <w:r w:rsidRPr="00CD104C">
        <w:t>Bilag 2 Mission og vision for kulturregionen</w:t>
      </w:r>
    </w:p>
    <w:p w:rsidR="0032147A" w:rsidRPr="00CD104C" w:rsidRDefault="0032147A" w:rsidP="0032147A">
      <w:r w:rsidRPr="00CD104C">
        <w:t>Bilag 3 Uddybende beskrivelse af indsatsområder, herunder formål og resultatmål</w:t>
      </w:r>
    </w:p>
    <w:p w:rsidR="0032147A" w:rsidRPr="00CD104C" w:rsidRDefault="0032147A" w:rsidP="0032147A">
      <w:r w:rsidRPr="00CD104C">
        <w:t>Bilag 4 Uddybning af kulturaftalens bevillingsmæssige grundlag og vilkår</w:t>
      </w:r>
    </w:p>
    <w:p w:rsidR="0032147A" w:rsidRPr="00CD104C" w:rsidRDefault="0032147A" w:rsidP="0032147A">
      <w:r w:rsidRPr="00CD104C">
        <w:t xml:space="preserve">Bilag 5 Organisation, herunder en beskrivelse af balancen mellem politisk ansvar og </w:t>
      </w:r>
      <w:r w:rsidRPr="00CD104C">
        <w:tab/>
      </w:r>
    </w:p>
    <w:p w:rsidR="0032147A" w:rsidRPr="00CD104C" w:rsidRDefault="0032147A" w:rsidP="0032147A">
      <w:r w:rsidRPr="00CD104C">
        <w:t xml:space="preserve">           </w:t>
      </w:r>
      <w:r w:rsidRPr="00CD104C">
        <w:tab/>
        <w:t>kulturel sagkundskab</w:t>
      </w:r>
    </w:p>
    <w:p w:rsidR="0032147A" w:rsidRPr="00CD104C" w:rsidRDefault="0032147A" w:rsidP="0032147A">
      <w:r w:rsidRPr="00CD104C">
        <w:t>Bilag 6 Plan for erfaringsudveksling på tværs af kulturregioner og øvrig kommunikation</w:t>
      </w:r>
    </w:p>
    <w:p w:rsidR="0032147A" w:rsidRPr="00CD104C" w:rsidRDefault="0032147A" w:rsidP="0032147A"/>
    <w:p w:rsidR="0032147A" w:rsidRPr="00CD104C" w:rsidRDefault="0032147A" w:rsidP="0032147A"/>
    <w:p w:rsidR="0032147A" w:rsidRPr="00CD104C" w:rsidRDefault="0032147A" w:rsidP="0032147A"/>
    <w:p w:rsidR="0032147A" w:rsidRPr="00CD104C" w:rsidRDefault="0032147A" w:rsidP="0032147A">
      <w:pPr>
        <w:rPr>
          <w:b/>
        </w:rPr>
      </w:pPr>
      <w:r w:rsidRPr="00CD104C">
        <w:rPr>
          <w:b/>
        </w:rPr>
        <w:t>Aftaleparter</w:t>
      </w:r>
    </w:p>
    <w:p w:rsidR="0032147A" w:rsidRPr="00CD104C" w:rsidRDefault="0032147A" w:rsidP="0032147A">
      <w:r w:rsidRPr="00CD104C">
        <w:t>Aftalen er indgået mellem kulturministeren og Kulturregion [indsæt navn], der består af et samarbejde mellem følgende kommuner: [indsæt navne].</w:t>
      </w:r>
    </w:p>
    <w:p w:rsidR="0032147A" w:rsidRPr="00CD104C" w:rsidRDefault="0032147A" w:rsidP="0032147A"/>
    <w:p w:rsidR="0032147A" w:rsidRPr="00CD104C" w:rsidRDefault="0032147A" w:rsidP="0032147A">
      <w:pPr>
        <w:rPr>
          <w:b/>
        </w:rPr>
      </w:pPr>
      <w:r w:rsidRPr="00CD104C">
        <w:rPr>
          <w:b/>
        </w:rPr>
        <w:t>Aftaleperiode</w:t>
      </w:r>
    </w:p>
    <w:p w:rsidR="0032147A" w:rsidRPr="00CD104C" w:rsidRDefault="0032147A" w:rsidP="0032147A">
      <w:r w:rsidRPr="00CD104C">
        <w:t>Fra den 1. januar 2021 til den 31. december 2024.</w:t>
      </w:r>
    </w:p>
    <w:p w:rsidR="0032147A" w:rsidRPr="00CD104C" w:rsidRDefault="0032147A" w:rsidP="0032147A"/>
    <w:p w:rsidR="0032147A" w:rsidRPr="00CD104C" w:rsidRDefault="0032147A" w:rsidP="0032147A">
      <w:pPr>
        <w:rPr>
          <w:b/>
        </w:rPr>
      </w:pPr>
      <w:r w:rsidRPr="00CD104C">
        <w:rPr>
          <w:b/>
        </w:rPr>
        <w:t>Lovgrundlag</w:t>
      </w:r>
    </w:p>
    <w:p w:rsidR="0032147A" w:rsidRPr="00CD104C" w:rsidRDefault="0032147A" w:rsidP="0032147A">
      <w:r w:rsidRPr="00CD104C">
        <w:t xml:space="preserve">Kulturregionen får statstilskud ifølge Lovbekendtgørelse nr. 728 af 7. juni 2007 om Kulturministeriets kulturaftaler med kommuner m.v. og om regionernes opgaver på kulturområdet, Lov nr. 563 af 24. juni 2005 om ændring af en række love på kulturområdet (udmøntning af kommunalreformen på kulturområdet), Lov nr. 1532 af 19. december 2017 om udlodning af overskud og udbytte til lotteri § 16 samt kulturaftalen for perioden 2021-24. </w:t>
      </w:r>
    </w:p>
    <w:p w:rsidR="0032147A" w:rsidRPr="00CD104C" w:rsidRDefault="0032147A" w:rsidP="0032147A"/>
    <w:p w:rsidR="0032147A" w:rsidRPr="00CD104C" w:rsidRDefault="0032147A" w:rsidP="0032147A">
      <w:pPr>
        <w:rPr>
          <w:b/>
          <w:color w:val="000000"/>
        </w:rPr>
      </w:pPr>
      <w:r w:rsidRPr="00CD104C">
        <w:rPr>
          <w:b/>
          <w:color w:val="000000"/>
        </w:rPr>
        <w:t>Overordnet formål med kulturaftalerne</w:t>
      </w:r>
    </w:p>
    <w:p w:rsidR="0032147A" w:rsidRPr="00CD104C" w:rsidRDefault="0032147A" w:rsidP="0032147A">
      <w:pPr>
        <w:rPr>
          <w:color w:val="000000"/>
        </w:rPr>
      </w:pPr>
      <w:r w:rsidRPr="00CD104C">
        <w:rPr>
          <w:color w:val="000000"/>
        </w:rPr>
        <w:t xml:space="preserve">At understøtte kommuners engagement </w:t>
      </w:r>
    </w:p>
    <w:p w:rsidR="0032147A" w:rsidRPr="00CD104C" w:rsidRDefault="0032147A" w:rsidP="0032147A">
      <w:pPr>
        <w:rPr>
          <w:color w:val="000000"/>
        </w:rPr>
      </w:pPr>
      <w:r w:rsidRPr="00CD104C">
        <w:rPr>
          <w:color w:val="000000"/>
        </w:rPr>
        <w:t>At styrke samarbejdet kommuner imellem</w:t>
      </w:r>
    </w:p>
    <w:p w:rsidR="0032147A" w:rsidRPr="00CD104C" w:rsidRDefault="0032147A" w:rsidP="0032147A">
      <w:pPr>
        <w:rPr>
          <w:color w:val="000000"/>
        </w:rPr>
      </w:pPr>
      <w:r w:rsidRPr="00CD104C">
        <w:rPr>
          <w:color w:val="000000"/>
        </w:rPr>
        <w:t>At styrke samarbejdet mellem kommuner og stat</w:t>
      </w:r>
    </w:p>
    <w:p w:rsidR="0032147A" w:rsidRPr="00CD104C" w:rsidRDefault="0032147A" w:rsidP="0032147A">
      <w:pPr>
        <w:rPr>
          <w:color w:val="000000"/>
        </w:rPr>
      </w:pPr>
      <w:r w:rsidRPr="00CD104C">
        <w:rPr>
          <w:color w:val="000000"/>
        </w:rPr>
        <w:t xml:space="preserve">At fastholde og udbygge den kulturpolitiske dialog og værdidebat mellem stat og kommuner </w:t>
      </w:r>
    </w:p>
    <w:p w:rsidR="0032147A" w:rsidRPr="00CD104C" w:rsidRDefault="0032147A" w:rsidP="0032147A">
      <w:r w:rsidRPr="00CD104C">
        <w:t xml:space="preserve">At give større dispositionsfrihed på det kommunale niveau og sætte fokus på overordnede mål og resultater </w:t>
      </w:r>
    </w:p>
    <w:p w:rsidR="0032147A" w:rsidRPr="00CD104C" w:rsidRDefault="0032147A" w:rsidP="0032147A">
      <w:pPr>
        <w:rPr>
          <w:color w:val="000000"/>
        </w:rPr>
      </w:pPr>
      <w:r w:rsidRPr="00CD104C">
        <w:rPr>
          <w:color w:val="000000"/>
        </w:rPr>
        <w:t xml:space="preserve">At sikre en bedre ressourceudnyttelse gennem kulturregional koordinering og arbejdsdeling </w:t>
      </w:r>
    </w:p>
    <w:p w:rsidR="0032147A" w:rsidRPr="00CD104C" w:rsidRDefault="0032147A" w:rsidP="0032147A">
      <w:pPr>
        <w:rPr>
          <w:color w:val="000000"/>
        </w:rPr>
      </w:pPr>
      <w:r w:rsidRPr="00CD104C">
        <w:rPr>
          <w:color w:val="000000"/>
        </w:rPr>
        <w:lastRenderedPageBreak/>
        <w:t>At fremme og videreudvikle de kulturelle institutioner, produktionsmiljøer og aktiviteter i kulturregionen med vægt på kvalitet</w:t>
      </w:r>
    </w:p>
    <w:p w:rsidR="0032147A" w:rsidRPr="00CD104C" w:rsidRDefault="0032147A" w:rsidP="0032147A">
      <w:pPr>
        <w:rPr>
          <w:color w:val="000000"/>
        </w:rPr>
      </w:pPr>
      <w:r w:rsidRPr="00CD104C">
        <w:rPr>
          <w:color w:val="000000"/>
        </w:rPr>
        <w:t>At opsamle og videregive særlig viden og erfaringer på kulturområdet til gavn for det samlede kulturliv i hele landet</w:t>
      </w:r>
    </w:p>
    <w:p w:rsidR="0032147A" w:rsidRPr="00CD104C" w:rsidRDefault="0032147A" w:rsidP="0032147A"/>
    <w:p w:rsidR="0032147A" w:rsidRPr="00CD104C" w:rsidRDefault="0032147A" w:rsidP="0032147A">
      <w:pPr>
        <w:rPr>
          <w:b/>
        </w:rPr>
      </w:pPr>
      <w:r w:rsidRPr="00CD104C">
        <w:rPr>
          <w:b/>
        </w:rPr>
        <w:t>Aftalens formål og indhold</w:t>
      </w:r>
    </w:p>
    <w:p w:rsidR="0032147A" w:rsidRPr="00CD104C" w:rsidRDefault="0032147A" w:rsidP="0032147A">
      <w:r w:rsidRPr="00CD104C">
        <w:t xml:space="preserve">Kulturaftalen 2021-24 har hovedsageligt fokus på udviklingsinitiativer med national relevans vedrørende børn og unge op til 20 år. </w:t>
      </w:r>
    </w:p>
    <w:p w:rsidR="0032147A" w:rsidRPr="00CD104C" w:rsidRDefault="0032147A" w:rsidP="0032147A"/>
    <w:p w:rsidR="0032147A" w:rsidRPr="00CD104C" w:rsidRDefault="0032147A" w:rsidP="0032147A">
      <w:r w:rsidRPr="00CD104C">
        <w:t>[Indsæt et kort, indledende afsnit om aftalens formål og indhold, der afspejler anvisningerne i vejledningen vedr. bilag 3]</w:t>
      </w:r>
    </w:p>
    <w:p w:rsidR="0032147A" w:rsidRPr="00CD104C" w:rsidRDefault="0032147A" w:rsidP="0032147A"/>
    <w:p w:rsidR="0032147A" w:rsidRPr="00CD104C" w:rsidRDefault="0032147A" w:rsidP="0032147A">
      <w:pPr>
        <w:rPr>
          <w:u w:val="single"/>
        </w:rPr>
      </w:pPr>
      <w:r w:rsidRPr="00CD104C">
        <w:rPr>
          <w:u w:val="single"/>
        </w:rPr>
        <w:t>Indsatsområder</w:t>
      </w:r>
    </w:p>
    <w:p w:rsidR="0032147A" w:rsidRPr="00CD104C" w:rsidRDefault="0032147A" w:rsidP="0032147A">
      <w:r w:rsidRPr="00CD104C">
        <w:t xml:space="preserve">Med udgangspunkt i </w:t>
      </w:r>
      <w:proofErr w:type="spellStart"/>
      <w:r w:rsidRPr="00CD104C">
        <w:t>omverdensanalyse</w:t>
      </w:r>
      <w:proofErr w:type="spellEnd"/>
      <w:r w:rsidRPr="00CD104C">
        <w:t xml:space="preserve">, mission og vision vil kulturregionen i aftaleperioden arbejde med følgende indsatsområder: [xx, </w:t>
      </w:r>
      <w:proofErr w:type="spellStart"/>
      <w:r w:rsidRPr="00CD104C">
        <w:t>yy</w:t>
      </w:r>
      <w:proofErr w:type="spellEnd"/>
      <w:r w:rsidRPr="00CD104C">
        <w:t xml:space="preserve"> og </w:t>
      </w:r>
      <w:proofErr w:type="spellStart"/>
      <w:r w:rsidRPr="00CD104C">
        <w:t>zz</w:t>
      </w:r>
      <w:proofErr w:type="spellEnd"/>
      <w:r w:rsidRPr="00CD104C">
        <w:t xml:space="preserve">]. </w:t>
      </w:r>
    </w:p>
    <w:p w:rsidR="0032147A" w:rsidRPr="00CD104C" w:rsidRDefault="0032147A" w:rsidP="0032147A">
      <w:pPr>
        <w:rPr>
          <w:i/>
        </w:rPr>
      </w:pPr>
    </w:p>
    <w:p w:rsidR="0032147A" w:rsidRPr="00CD104C" w:rsidRDefault="0032147A" w:rsidP="0032147A">
      <w:r w:rsidRPr="00CD104C">
        <w:t xml:space="preserve">Skema A er en præsentation af kulturregionens indsatsområder for de kommende fire år, herunder det overordnede resultatmål for hvert indsatsområde. Kulturregionen beskriver indsatsområder og resultatmål nærmere i bilag tre. </w:t>
      </w:r>
    </w:p>
    <w:p w:rsidR="0032147A" w:rsidRPr="00CD104C" w:rsidRDefault="0032147A" w:rsidP="0032147A"/>
    <w:p w:rsidR="0032147A" w:rsidRPr="00CD104C" w:rsidRDefault="0032147A" w:rsidP="0032147A">
      <w:pPr>
        <w:rPr>
          <w:i/>
          <w:sz w:val="20"/>
        </w:rPr>
      </w:pPr>
      <w:r w:rsidRPr="00CD104C">
        <w:rPr>
          <w:i/>
          <w:sz w:val="20"/>
        </w:rPr>
        <w:t>Skema A om indsatsområder og mål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119"/>
        <w:gridCol w:w="2817"/>
      </w:tblGrid>
      <w:tr w:rsidR="0032147A" w:rsidRPr="00CD104C" w:rsidTr="004310C5">
        <w:tc>
          <w:tcPr>
            <w:tcW w:w="2265" w:type="dxa"/>
            <w:tcBorders>
              <w:top w:val="single" w:sz="4" w:space="0" w:color="auto"/>
              <w:left w:val="single" w:sz="4" w:space="0" w:color="auto"/>
              <w:bottom w:val="single" w:sz="4" w:space="0" w:color="auto"/>
              <w:right w:val="single" w:sz="4" w:space="0" w:color="auto"/>
            </w:tcBorders>
            <w:shd w:val="clear" w:color="auto" w:fill="auto"/>
          </w:tcPr>
          <w:p w:rsidR="0032147A" w:rsidRPr="00CD104C" w:rsidRDefault="0032147A" w:rsidP="004310C5">
            <w:pPr>
              <w:rPr>
                <w:sz w:val="20"/>
              </w:rPr>
            </w:pPr>
            <w:r w:rsidRPr="00CD104C">
              <w:rPr>
                <w:sz w:val="20"/>
              </w:rPr>
              <w:t>Indsatsområde</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32147A" w:rsidRPr="00CD104C" w:rsidRDefault="0032147A" w:rsidP="004310C5">
            <w:pPr>
              <w:rPr>
                <w:sz w:val="20"/>
              </w:rPr>
            </w:pPr>
            <w:r w:rsidRPr="00CD104C">
              <w:rPr>
                <w:sz w:val="20"/>
              </w:rPr>
              <w:t>Indsatsområdets formål</w:t>
            </w:r>
          </w:p>
        </w:tc>
        <w:tc>
          <w:tcPr>
            <w:tcW w:w="2909" w:type="dxa"/>
            <w:tcBorders>
              <w:top w:val="single" w:sz="4" w:space="0" w:color="auto"/>
              <w:left w:val="single" w:sz="4" w:space="0" w:color="auto"/>
              <w:bottom w:val="single" w:sz="4" w:space="0" w:color="auto"/>
              <w:right w:val="single" w:sz="4" w:space="0" w:color="auto"/>
            </w:tcBorders>
          </w:tcPr>
          <w:p w:rsidR="0032147A" w:rsidRPr="00CD104C" w:rsidRDefault="0032147A" w:rsidP="004310C5">
            <w:pPr>
              <w:rPr>
                <w:sz w:val="20"/>
              </w:rPr>
            </w:pPr>
            <w:r w:rsidRPr="00CD104C">
              <w:rPr>
                <w:sz w:val="20"/>
              </w:rPr>
              <w:t>Resultatmål</w:t>
            </w:r>
          </w:p>
        </w:tc>
      </w:tr>
      <w:tr w:rsidR="0032147A" w:rsidRPr="00CD104C" w:rsidTr="004310C5">
        <w:trPr>
          <w:trHeight w:val="788"/>
        </w:trPr>
        <w:tc>
          <w:tcPr>
            <w:tcW w:w="2265" w:type="dxa"/>
            <w:tcBorders>
              <w:top w:val="single" w:sz="4" w:space="0" w:color="auto"/>
              <w:bottom w:val="single" w:sz="4" w:space="0" w:color="auto"/>
            </w:tcBorders>
            <w:shd w:val="clear" w:color="auto" w:fill="auto"/>
          </w:tcPr>
          <w:p w:rsidR="0032147A" w:rsidRPr="00CD104C" w:rsidRDefault="0032147A" w:rsidP="004310C5">
            <w:pPr>
              <w:rPr>
                <w:sz w:val="20"/>
              </w:rPr>
            </w:pPr>
          </w:p>
        </w:tc>
        <w:tc>
          <w:tcPr>
            <w:tcW w:w="3207" w:type="dxa"/>
            <w:tcBorders>
              <w:top w:val="single" w:sz="4" w:space="0" w:color="auto"/>
              <w:bottom w:val="single" w:sz="4" w:space="0" w:color="auto"/>
            </w:tcBorders>
            <w:shd w:val="clear" w:color="auto" w:fill="auto"/>
          </w:tcPr>
          <w:p w:rsidR="0032147A" w:rsidRPr="00CD104C" w:rsidRDefault="0032147A" w:rsidP="004310C5">
            <w:pPr>
              <w:rPr>
                <w:sz w:val="20"/>
              </w:rPr>
            </w:pPr>
          </w:p>
        </w:tc>
        <w:tc>
          <w:tcPr>
            <w:tcW w:w="2909" w:type="dxa"/>
            <w:tcBorders>
              <w:top w:val="single" w:sz="4" w:space="0" w:color="auto"/>
              <w:bottom w:val="single" w:sz="4" w:space="0" w:color="auto"/>
            </w:tcBorders>
          </w:tcPr>
          <w:p w:rsidR="0032147A" w:rsidRPr="00CD104C" w:rsidRDefault="0032147A" w:rsidP="004310C5">
            <w:pPr>
              <w:rPr>
                <w:sz w:val="20"/>
              </w:rPr>
            </w:pPr>
            <w:proofErr w:type="spellStart"/>
            <w:r w:rsidRPr="00CD104C">
              <w:rPr>
                <w:sz w:val="20"/>
              </w:rPr>
              <w:t>Xx</w:t>
            </w:r>
            <w:proofErr w:type="spellEnd"/>
          </w:p>
          <w:p w:rsidR="0032147A" w:rsidRPr="00CD104C" w:rsidRDefault="0032147A" w:rsidP="004310C5">
            <w:pPr>
              <w:rPr>
                <w:sz w:val="20"/>
              </w:rPr>
            </w:pPr>
            <w:proofErr w:type="spellStart"/>
            <w:r w:rsidRPr="00CD104C">
              <w:rPr>
                <w:sz w:val="20"/>
              </w:rPr>
              <w:t>Xx</w:t>
            </w:r>
            <w:proofErr w:type="spellEnd"/>
          </w:p>
        </w:tc>
      </w:tr>
      <w:tr w:rsidR="0032147A" w:rsidRPr="00CD104C" w:rsidTr="004310C5">
        <w:trPr>
          <w:trHeight w:val="705"/>
        </w:trPr>
        <w:tc>
          <w:tcPr>
            <w:tcW w:w="2265" w:type="dxa"/>
            <w:tcBorders>
              <w:bottom w:val="single" w:sz="4" w:space="0" w:color="auto"/>
            </w:tcBorders>
            <w:shd w:val="clear" w:color="auto" w:fill="auto"/>
          </w:tcPr>
          <w:p w:rsidR="0032147A" w:rsidRPr="00CD104C" w:rsidRDefault="0032147A" w:rsidP="004310C5">
            <w:pPr>
              <w:rPr>
                <w:sz w:val="20"/>
              </w:rPr>
            </w:pPr>
          </w:p>
        </w:tc>
        <w:tc>
          <w:tcPr>
            <w:tcW w:w="3207" w:type="dxa"/>
            <w:tcBorders>
              <w:bottom w:val="single" w:sz="4" w:space="0" w:color="auto"/>
            </w:tcBorders>
            <w:shd w:val="clear" w:color="auto" w:fill="auto"/>
          </w:tcPr>
          <w:p w:rsidR="0032147A" w:rsidRPr="00CD104C" w:rsidRDefault="0032147A" w:rsidP="004310C5">
            <w:pPr>
              <w:rPr>
                <w:sz w:val="20"/>
              </w:rPr>
            </w:pPr>
          </w:p>
        </w:tc>
        <w:tc>
          <w:tcPr>
            <w:tcW w:w="2909" w:type="dxa"/>
            <w:tcBorders>
              <w:bottom w:val="single" w:sz="4" w:space="0" w:color="auto"/>
            </w:tcBorders>
          </w:tcPr>
          <w:p w:rsidR="0032147A" w:rsidRPr="00CD104C" w:rsidRDefault="0032147A" w:rsidP="004310C5">
            <w:pPr>
              <w:rPr>
                <w:sz w:val="20"/>
              </w:rPr>
            </w:pPr>
            <w:proofErr w:type="spellStart"/>
            <w:r w:rsidRPr="00CD104C">
              <w:rPr>
                <w:sz w:val="20"/>
              </w:rPr>
              <w:t>Xx</w:t>
            </w:r>
            <w:proofErr w:type="spellEnd"/>
          </w:p>
          <w:p w:rsidR="0032147A" w:rsidRPr="00CD104C" w:rsidRDefault="0032147A" w:rsidP="004310C5">
            <w:proofErr w:type="spellStart"/>
            <w:r w:rsidRPr="00CD104C">
              <w:t>Xx</w:t>
            </w:r>
            <w:proofErr w:type="spellEnd"/>
          </w:p>
        </w:tc>
      </w:tr>
      <w:tr w:rsidR="0032147A" w:rsidRPr="00CD104C" w:rsidTr="004310C5">
        <w:tc>
          <w:tcPr>
            <w:tcW w:w="2265" w:type="dxa"/>
            <w:tcBorders>
              <w:top w:val="single" w:sz="4" w:space="0" w:color="auto"/>
              <w:left w:val="single" w:sz="4" w:space="0" w:color="auto"/>
              <w:bottom w:val="single" w:sz="4" w:space="0" w:color="auto"/>
              <w:right w:val="single" w:sz="4" w:space="0" w:color="auto"/>
            </w:tcBorders>
            <w:shd w:val="clear" w:color="auto" w:fill="auto"/>
          </w:tcPr>
          <w:p w:rsidR="0032147A" w:rsidRPr="00CD104C" w:rsidRDefault="0032147A" w:rsidP="004310C5">
            <w:pPr>
              <w:rPr>
                <w:sz w:val="20"/>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32147A" w:rsidRPr="00CD104C" w:rsidRDefault="0032147A" w:rsidP="004310C5">
            <w:pPr>
              <w:rPr>
                <w:sz w:val="20"/>
              </w:rPr>
            </w:pPr>
          </w:p>
        </w:tc>
        <w:tc>
          <w:tcPr>
            <w:tcW w:w="2909" w:type="dxa"/>
            <w:tcBorders>
              <w:top w:val="single" w:sz="4" w:space="0" w:color="auto"/>
              <w:left w:val="single" w:sz="4" w:space="0" w:color="auto"/>
              <w:bottom w:val="single" w:sz="4" w:space="0" w:color="auto"/>
              <w:right w:val="single" w:sz="4" w:space="0" w:color="auto"/>
            </w:tcBorders>
          </w:tcPr>
          <w:p w:rsidR="0032147A" w:rsidRPr="00CD104C" w:rsidRDefault="0032147A" w:rsidP="004310C5">
            <w:pPr>
              <w:rPr>
                <w:sz w:val="20"/>
              </w:rPr>
            </w:pPr>
            <w:proofErr w:type="spellStart"/>
            <w:r w:rsidRPr="00CD104C">
              <w:rPr>
                <w:sz w:val="20"/>
              </w:rPr>
              <w:t>Xx</w:t>
            </w:r>
            <w:proofErr w:type="spellEnd"/>
          </w:p>
          <w:p w:rsidR="0032147A" w:rsidRPr="00CD104C" w:rsidRDefault="0032147A" w:rsidP="004310C5">
            <w:proofErr w:type="spellStart"/>
            <w:r w:rsidRPr="00CD104C">
              <w:t>Xx</w:t>
            </w:r>
            <w:proofErr w:type="spellEnd"/>
          </w:p>
        </w:tc>
      </w:tr>
    </w:tbl>
    <w:p w:rsidR="0032147A" w:rsidRPr="00CD104C" w:rsidRDefault="0032147A" w:rsidP="0032147A"/>
    <w:p w:rsidR="0032147A" w:rsidRPr="00CD104C" w:rsidRDefault="0032147A" w:rsidP="0032147A">
      <w:pPr>
        <w:rPr>
          <w:b/>
        </w:rPr>
      </w:pPr>
      <w:r w:rsidRPr="00CD104C">
        <w:rPr>
          <w:b/>
        </w:rPr>
        <w:t>Finansiering og statistik</w:t>
      </w:r>
    </w:p>
    <w:p w:rsidR="0032147A" w:rsidRPr="00CD104C" w:rsidRDefault="0032147A" w:rsidP="0032147A">
      <w:r w:rsidRPr="00CD104C">
        <w:t xml:space="preserve">Statens tilskud til indsatsområderne kommer fra Puljen til kultur i hele landet. Puljen er øremærket til udvikling og forudsætter en kulturregional egenfinansiering på minimum 50 pct. </w:t>
      </w:r>
    </w:p>
    <w:p w:rsidR="0032147A" w:rsidRPr="00CD104C" w:rsidRDefault="0032147A" w:rsidP="0032147A"/>
    <w:p w:rsidR="0032147A" w:rsidRPr="00CD104C" w:rsidRDefault="0032147A" w:rsidP="0032147A">
      <w:r w:rsidRPr="00CD104C">
        <w:t>Tabel B viser den samlede finansiering, dvs. kulturregionens egenfinansiering og statens medfinansiering. Kulturregionen uddyber i bilag 4 aftalens bevillingsmæssige grundlag og vilkår, herunder kulturregionens prioritering af midlerne på indsatsområdeniveau.</w:t>
      </w:r>
    </w:p>
    <w:p w:rsidR="0032147A" w:rsidRPr="00CD104C" w:rsidRDefault="0032147A" w:rsidP="0032147A"/>
    <w:p w:rsidR="0032147A" w:rsidRPr="00CD104C" w:rsidRDefault="0032147A" w:rsidP="0032147A">
      <w:pPr>
        <w:rPr>
          <w:i/>
          <w:sz w:val="20"/>
        </w:rPr>
      </w:pPr>
      <w:r w:rsidRPr="00CD104C">
        <w:rPr>
          <w:i/>
          <w:sz w:val="20"/>
        </w:rPr>
        <w:lastRenderedPageBreak/>
        <w:t>Tabel B Den samlede finansiering af indsatsområder i aftaleperioden (2020-tal)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257"/>
        <w:gridCol w:w="1257"/>
        <w:gridCol w:w="1257"/>
        <w:gridCol w:w="1257"/>
        <w:gridCol w:w="1072"/>
      </w:tblGrid>
      <w:tr w:rsidR="0032147A" w:rsidRPr="00CD104C" w:rsidTr="004310C5">
        <w:tc>
          <w:tcPr>
            <w:tcW w:w="2078" w:type="dxa"/>
          </w:tcPr>
          <w:p w:rsidR="0032147A" w:rsidRPr="00CD104C" w:rsidRDefault="0032147A" w:rsidP="004310C5"/>
        </w:tc>
        <w:tc>
          <w:tcPr>
            <w:tcW w:w="1298" w:type="dxa"/>
            <w:shd w:val="clear" w:color="auto" w:fill="auto"/>
          </w:tcPr>
          <w:p w:rsidR="0032147A" w:rsidRPr="00CD104C" w:rsidRDefault="0032147A" w:rsidP="004310C5">
            <w:r w:rsidRPr="00CD104C">
              <w:t>2021</w:t>
            </w:r>
          </w:p>
        </w:tc>
        <w:tc>
          <w:tcPr>
            <w:tcW w:w="1298" w:type="dxa"/>
            <w:shd w:val="clear" w:color="auto" w:fill="auto"/>
          </w:tcPr>
          <w:p w:rsidR="0032147A" w:rsidRPr="00CD104C" w:rsidRDefault="0032147A" w:rsidP="004310C5">
            <w:r w:rsidRPr="00CD104C">
              <w:t>2022</w:t>
            </w:r>
          </w:p>
        </w:tc>
        <w:tc>
          <w:tcPr>
            <w:tcW w:w="1298" w:type="dxa"/>
            <w:shd w:val="clear" w:color="auto" w:fill="auto"/>
          </w:tcPr>
          <w:p w:rsidR="0032147A" w:rsidRPr="00CD104C" w:rsidRDefault="0032147A" w:rsidP="004310C5">
            <w:r w:rsidRPr="00CD104C">
              <w:t>2023</w:t>
            </w:r>
          </w:p>
        </w:tc>
        <w:tc>
          <w:tcPr>
            <w:tcW w:w="1298" w:type="dxa"/>
            <w:shd w:val="clear" w:color="auto" w:fill="auto"/>
          </w:tcPr>
          <w:p w:rsidR="0032147A" w:rsidRPr="00CD104C" w:rsidRDefault="0032147A" w:rsidP="004310C5">
            <w:r w:rsidRPr="00CD104C">
              <w:t>2024</w:t>
            </w:r>
          </w:p>
        </w:tc>
        <w:tc>
          <w:tcPr>
            <w:tcW w:w="1111" w:type="dxa"/>
          </w:tcPr>
          <w:p w:rsidR="0032147A" w:rsidRPr="00CD104C" w:rsidRDefault="0032147A" w:rsidP="004310C5">
            <w:r w:rsidRPr="00CD104C">
              <w:t>Alt i alt</w:t>
            </w:r>
          </w:p>
        </w:tc>
      </w:tr>
      <w:tr w:rsidR="0032147A" w:rsidRPr="00CD104C" w:rsidTr="004310C5">
        <w:tc>
          <w:tcPr>
            <w:tcW w:w="2078" w:type="dxa"/>
          </w:tcPr>
          <w:p w:rsidR="0032147A" w:rsidRPr="00CD104C" w:rsidRDefault="0032147A" w:rsidP="004310C5">
            <w:r w:rsidRPr="00CD104C">
              <w:t>Kulturregionens egenfinansiering</w:t>
            </w:r>
          </w:p>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111" w:type="dxa"/>
          </w:tcPr>
          <w:p w:rsidR="0032147A" w:rsidRPr="00CD104C" w:rsidRDefault="0032147A" w:rsidP="004310C5"/>
        </w:tc>
      </w:tr>
      <w:tr w:rsidR="0032147A" w:rsidRPr="00CD104C" w:rsidTr="004310C5">
        <w:tc>
          <w:tcPr>
            <w:tcW w:w="2078" w:type="dxa"/>
          </w:tcPr>
          <w:p w:rsidR="0032147A" w:rsidRPr="00CD104C" w:rsidRDefault="0032147A" w:rsidP="004310C5">
            <w:r w:rsidRPr="00CD104C">
              <w:t>Statens medfinansiering fra Puljen til kultur i hele landet</w:t>
            </w:r>
          </w:p>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111" w:type="dxa"/>
          </w:tcPr>
          <w:p w:rsidR="0032147A" w:rsidRPr="00CD104C" w:rsidRDefault="0032147A" w:rsidP="004310C5"/>
        </w:tc>
      </w:tr>
      <w:tr w:rsidR="0032147A" w:rsidRPr="00CD104C" w:rsidTr="004310C5">
        <w:tc>
          <w:tcPr>
            <w:tcW w:w="2078" w:type="dxa"/>
          </w:tcPr>
          <w:p w:rsidR="0032147A" w:rsidRPr="00CD104C" w:rsidRDefault="0032147A" w:rsidP="004310C5">
            <w:r w:rsidRPr="00CD104C">
              <w:t>I alt</w:t>
            </w:r>
          </w:p>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298" w:type="dxa"/>
            <w:shd w:val="clear" w:color="auto" w:fill="auto"/>
          </w:tcPr>
          <w:p w:rsidR="0032147A" w:rsidRPr="00CD104C" w:rsidRDefault="0032147A" w:rsidP="004310C5"/>
        </w:tc>
        <w:tc>
          <w:tcPr>
            <w:tcW w:w="1111" w:type="dxa"/>
          </w:tcPr>
          <w:p w:rsidR="0032147A" w:rsidRPr="00CD104C" w:rsidRDefault="0032147A" w:rsidP="004310C5"/>
        </w:tc>
      </w:tr>
    </w:tbl>
    <w:p w:rsidR="0032147A" w:rsidRPr="00CD104C" w:rsidRDefault="0032147A" w:rsidP="0032147A"/>
    <w:p w:rsidR="0032147A" w:rsidRPr="00CD104C" w:rsidRDefault="0032147A" w:rsidP="0032147A">
      <w:r w:rsidRPr="00CD104C">
        <w:t xml:space="preserve">Tilskud fra Puljen til kultur i hele landet forudsætter, at Folketingets finansudvalg vedtager aktstykket om udlodningsmidler til kulturelle formål i de enkelte </w:t>
      </w:r>
      <w:proofErr w:type="spellStart"/>
      <w:r w:rsidRPr="00CD104C">
        <w:t>aftaleår</w:t>
      </w:r>
      <w:proofErr w:type="spellEnd"/>
      <w:r w:rsidRPr="00CD104C">
        <w:t xml:space="preserve">.   </w:t>
      </w:r>
    </w:p>
    <w:p w:rsidR="0032147A" w:rsidRPr="00CD104C" w:rsidRDefault="0032147A" w:rsidP="0032147A"/>
    <w:p w:rsidR="0032147A" w:rsidRPr="00CD104C" w:rsidRDefault="0032147A" w:rsidP="0032147A">
      <w:r w:rsidRPr="00CD104C">
        <w:t xml:space="preserve">Slots- og Kulturstyrelsen kan bede kulturregionen om at indsende statistiske oplysninger m.v. i lighed med kommuner, der ikke er omfattet af en kulturaftale </w:t>
      </w:r>
    </w:p>
    <w:p w:rsidR="0032147A" w:rsidRPr="00CD104C" w:rsidRDefault="0032147A" w:rsidP="0032147A"/>
    <w:p w:rsidR="0032147A" w:rsidRPr="00CD104C" w:rsidRDefault="0032147A" w:rsidP="0032147A">
      <w:pPr>
        <w:rPr>
          <w:b/>
        </w:rPr>
      </w:pPr>
      <w:r w:rsidRPr="00CD104C">
        <w:rPr>
          <w:b/>
        </w:rPr>
        <w:t>Regnskab, status og slutevaluering</w:t>
      </w:r>
    </w:p>
    <w:p w:rsidR="0032147A" w:rsidRPr="00CD104C" w:rsidRDefault="0032147A" w:rsidP="0032147A">
      <w:r w:rsidRPr="00CD104C">
        <w:t xml:space="preserve">Regnskab, status og evaluering skal tage udgangspunkt i kulturaftalens </w:t>
      </w:r>
      <w:proofErr w:type="spellStart"/>
      <w:r w:rsidRPr="00CD104C">
        <w:t>omverdensbeskrivelse</w:t>
      </w:r>
      <w:proofErr w:type="spellEnd"/>
      <w:r w:rsidRPr="00CD104C">
        <w:t xml:space="preserve">, mission, vision, indsatsområder og resultatmål. </w:t>
      </w:r>
    </w:p>
    <w:p w:rsidR="0032147A" w:rsidRPr="00CD104C" w:rsidRDefault="0032147A" w:rsidP="0032147A"/>
    <w:p w:rsidR="0032147A" w:rsidRPr="00CD104C" w:rsidRDefault="0032147A" w:rsidP="0032147A">
      <w:r w:rsidRPr="00CD104C">
        <w:t xml:space="preserve">Frist for regnskab er den 15. september året efter regnskabsårets afslutning. Regnskab skal aflægges på regnskabsskema udarbejdet af Slots- og Kulturstyrelsen, og skal omfatte både statstilskud og kulturregionens egenfinansiering. </w:t>
      </w:r>
    </w:p>
    <w:p w:rsidR="0032147A" w:rsidRPr="00CD104C" w:rsidRDefault="0032147A" w:rsidP="0032147A"/>
    <w:p w:rsidR="0032147A" w:rsidRPr="00CD104C" w:rsidRDefault="0032147A" w:rsidP="0032147A">
      <w:r w:rsidRPr="00CD104C">
        <w:t>Regnskabsoplysningerne skal underskrivers af revisor.</w:t>
      </w:r>
    </w:p>
    <w:p w:rsidR="0032147A" w:rsidRPr="00CD104C" w:rsidRDefault="0032147A" w:rsidP="0032147A"/>
    <w:p w:rsidR="0032147A" w:rsidRPr="00CD104C" w:rsidRDefault="0032147A" w:rsidP="0032147A">
      <w:r w:rsidRPr="00CD104C">
        <w:t xml:space="preserve">Sammen med regnskabet skal kulturregionen afgive en kortfattet, skriftlig status for indsatsområdernes formål og resultatmål med henblik på dialog med Slots- og Kulturstyrelsen. </w:t>
      </w:r>
    </w:p>
    <w:p w:rsidR="0032147A" w:rsidRPr="00CD104C" w:rsidRDefault="0032147A" w:rsidP="0032147A"/>
    <w:p w:rsidR="0032147A" w:rsidRPr="00CD104C" w:rsidRDefault="0032147A" w:rsidP="0032147A">
      <w:r w:rsidRPr="00CD104C">
        <w:t xml:space="preserve">Senest den 1. marts i aftalens sidste år skal kulturregionen indsende en skriftlig slutevaluering, der kan danne grundlag for forhandling om en eventuel ny aftale. </w:t>
      </w:r>
    </w:p>
    <w:p w:rsidR="0032147A" w:rsidRPr="00CD104C" w:rsidRDefault="0032147A" w:rsidP="0032147A"/>
    <w:p w:rsidR="0032147A" w:rsidRPr="00CD104C" w:rsidRDefault="0032147A" w:rsidP="0032147A">
      <w:pPr>
        <w:rPr>
          <w:b/>
        </w:rPr>
      </w:pPr>
      <w:r w:rsidRPr="00CD104C">
        <w:rPr>
          <w:b/>
        </w:rPr>
        <w:t>Tilsyn</w:t>
      </w:r>
    </w:p>
    <w:p w:rsidR="0032147A" w:rsidRPr="00CD104C" w:rsidRDefault="0032147A" w:rsidP="0032147A">
      <w:r w:rsidRPr="00CD104C">
        <w:t xml:space="preserve">Kulturregionen har tilsynsforpligtelsen for de konkrete initiativer, der modtager støtte fra kulturregionen i henhold til kulturaftalen. </w:t>
      </w:r>
    </w:p>
    <w:p w:rsidR="0032147A" w:rsidRPr="00CD104C" w:rsidRDefault="0032147A" w:rsidP="0032147A"/>
    <w:p w:rsidR="0032147A" w:rsidRPr="00CD104C" w:rsidRDefault="0032147A" w:rsidP="0032147A">
      <w:r w:rsidRPr="00CD104C">
        <w:t>Genforhandling, justering og opsigelse af kulturaftalen</w:t>
      </w:r>
    </w:p>
    <w:p w:rsidR="0032147A" w:rsidRPr="00CD104C" w:rsidRDefault="0032147A" w:rsidP="0032147A">
      <w:r w:rsidRPr="00CD104C">
        <w:lastRenderedPageBreak/>
        <w:t xml:space="preserve">Genforhandling eller justering af aftalen kan finde sted ved væsentlige ændringer af det grundlag, aftalen er indgået på, og i øvrigt når parterne er enige herom. </w:t>
      </w:r>
    </w:p>
    <w:p w:rsidR="0032147A" w:rsidRPr="00CD104C" w:rsidRDefault="0032147A" w:rsidP="0032147A"/>
    <w:p w:rsidR="0032147A" w:rsidRPr="00CD104C" w:rsidRDefault="0032147A" w:rsidP="0032147A">
      <w:pPr>
        <w:rPr>
          <w:b/>
        </w:rPr>
      </w:pPr>
      <w:bookmarkStart w:id="0" w:name="_GoBack"/>
      <w:r w:rsidRPr="00CD104C">
        <w:rPr>
          <w:b/>
        </w:rPr>
        <w:t>Underskrift af aftalen</w:t>
      </w:r>
    </w:p>
    <w:bookmarkEnd w:id="0"/>
    <w:p w:rsidR="0032147A" w:rsidRPr="00CD104C" w:rsidRDefault="0032147A" w:rsidP="0032147A">
      <w:pPr>
        <w:rPr>
          <w:u w:val="single"/>
        </w:rPr>
      </w:pPr>
    </w:p>
    <w:p w:rsidR="0032147A" w:rsidRPr="00CD104C" w:rsidRDefault="0032147A" w:rsidP="0032147A">
      <w:r w:rsidRPr="00CD104C">
        <w:t xml:space="preserve">………………………………                          …………………………….    </w:t>
      </w:r>
    </w:p>
    <w:p w:rsidR="0032147A" w:rsidRPr="00CD104C" w:rsidRDefault="0032147A" w:rsidP="0032147A">
      <w:r w:rsidRPr="00CD104C">
        <w:t>Sted og dato                                                Sted og dato</w:t>
      </w:r>
    </w:p>
    <w:p w:rsidR="0032147A" w:rsidRPr="00CD104C" w:rsidRDefault="0032147A" w:rsidP="0032147A"/>
    <w:p w:rsidR="0032147A" w:rsidRPr="00CD104C" w:rsidRDefault="0032147A" w:rsidP="0032147A"/>
    <w:p w:rsidR="0032147A" w:rsidRPr="00CD104C" w:rsidRDefault="0032147A" w:rsidP="0032147A">
      <w:r w:rsidRPr="00CD104C">
        <w:t>……………………………….</w:t>
      </w:r>
      <w:r w:rsidRPr="00CD104C">
        <w:tab/>
        <w:t xml:space="preserve">                        ……………………………..</w:t>
      </w:r>
    </w:p>
    <w:p w:rsidR="0032147A" w:rsidRPr="00CD104C" w:rsidRDefault="0032147A" w:rsidP="0032147A">
      <w:r w:rsidRPr="00CD104C">
        <w:t xml:space="preserve">Kulturregion [indsæt </w:t>
      </w:r>
      <w:proofErr w:type="gramStart"/>
      <w:r w:rsidRPr="00CD104C">
        <w:t xml:space="preserve">navn]   </w:t>
      </w:r>
      <w:proofErr w:type="gramEnd"/>
      <w:r w:rsidRPr="00CD104C">
        <w:t xml:space="preserve">                   Kulturministeren   </w:t>
      </w:r>
    </w:p>
    <w:p w:rsidR="0032147A" w:rsidRPr="00CD104C" w:rsidRDefault="0032147A" w:rsidP="0032147A">
      <w:bookmarkStart w:id="1" w:name="Mvh"/>
      <w:bookmarkEnd w:id="1"/>
    </w:p>
    <w:p w:rsidR="0032147A" w:rsidRPr="00CD104C" w:rsidRDefault="0032147A" w:rsidP="0032147A">
      <w:r w:rsidRPr="00CD104C">
        <w:t xml:space="preserve"> </w:t>
      </w:r>
    </w:p>
    <w:p w:rsidR="0032147A" w:rsidRPr="00CD104C" w:rsidRDefault="0032147A" w:rsidP="0032147A"/>
    <w:p w:rsidR="002A555B" w:rsidRPr="00CD104C" w:rsidRDefault="002A555B"/>
    <w:sectPr w:rsidR="002A555B" w:rsidRPr="00CD104C" w:rsidSect="0040418F">
      <w:headerReference w:type="even" r:id="rId6"/>
      <w:headerReference w:type="default" r:id="rId7"/>
      <w:headerReference w:type="first" r:id="rId8"/>
      <w:footerReference w:type="first" r:id="rId9"/>
      <w:pgSz w:w="11907" w:h="16840" w:code="9"/>
      <w:pgMar w:top="2013" w:right="2495" w:bottom="1701" w:left="1247" w:header="624" w:footer="624"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0F" w:rsidRDefault="002A0C0F">
      <w:pPr>
        <w:spacing w:line="240" w:lineRule="auto"/>
      </w:pPr>
      <w:r>
        <w:separator/>
      </w:r>
    </w:p>
  </w:endnote>
  <w:endnote w:type="continuationSeparator" w:id="0">
    <w:p w:rsidR="002A0C0F" w:rsidRDefault="002A0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77" w:rsidRPr="00940377" w:rsidRDefault="0032147A">
    <w:pPr>
      <w:pStyle w:val="Sidefod"/>
      <w:rPr>
        <w:sz w:val="16"/>
        <w:szCs w:val="16"/>
      </w:rPr>
    </w:pPr>
    <w:r w:rsidRPr="00940377">
      <w:rPr>
        <w:sz w:val="16"/>
        <w:szCs w:val="16"/>
      </w:rPr>
      <w:t>19/04101-1</w:t>
    </w:r>
  </w:p>
  <w:p w:rsidR="001D3E8F" w:rsidRDefault="002A0C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0F" w:rsidRDefault="002A0C0F">
      <w:pPr>
        <w:spacing w:line="240" w:lineRule="auto"/>
      </w:pPr>
      <w:r>
        <w:separator/>
      </w:r>
    </w:p>
  </w:footnote>
  <w:footnote w:type="continuationSeparator" w:id="0">
    <w:p w:rsidR="002A0C0F" w:rsidRDefault="002A0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AD" w:rsidRDefault="002A0C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8F" w:rsidRDefault="0032147A">
    <w:pPr>
      <w:pStyle w:val="Sidehoved"/>
    </w:pPr>
    <w:r>
      <w:t xml:space="preserve">Side </w:t>
    </w:r>
    <w:r w:rsidRPr="00D67530">
      <w:fldChar w:fldCharType="begin"/>
    </w:r>
    <w:r w:rsidRPr="00D67530">
      <w:instrText xml:space="preserve"> PAGE </w:instrText>
    </w:r>
    <w:r w:rsidRPr="00D67530">
      <w:fldChar w:fldCharType="separate"/>
    </w:r>
    <w:r w:rsidR="00CD104C">
      <w:rPr>
        <w:noProof/>
      </w:rPr>
      <w:t>5</w:t>
    </w:r>
    <w:r w:rsidRPr="00D67530">
      <w:fldChar w:fldCharType="end"/>
    </w:r>
  </w:p>
  <w:p w:rsidR="001D3E8F" w:rsidRPr="00D67530" w:rsidRDefault="002A0C0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8F" w:rsidRPr="007D3B66" w:rsidRDefault="0032147A" w:rsidP="001D3E8F">
    <w:pPr>
      <w:pStyle w:val="Sidehoved"/>
      <w:spacing w:line="240" w:lineRule="auto"/>
      <w:rPr>
        <w:sz w:val="2"/>
        <w:szCs w:val="2"/>
        <w:lang w:val="en-US" w:eastAsia="en-US"/>
      </w:rPr>
    </w:pPr>
    <w:r>
      <w:rPr>
        <w:noProof/>
      </w:rPr>
      <w:drawing>
        <wp:anchor distT="0" distB="0" distL="114300" distR="114300" simplePos="0" relativeHeight="251659264" behindDoc="1" locked="0" layoutInCell="1" allowOverlap="1">
          <wp:simplePos x="0" y="0"/>
          <wp:positionH relativeFrom="column">
            <wp:posOffset>4367530</wp:posOffset>
          </wp:positionH>
          <wp:positionV relativeFrom="page">
            <wp:posOffset>316865</wp:posOffset>
          </wp:positionV>
          <wp:extent cx="1990090" cy="489585"/>
          <wp:effectExtent l="0" t="0" r="0" b="5715"/>
          <wp:wrapNone/>
          <wp:docPr id="1" name="Billede 1" descr="KUM_Logo_SH_1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_Logo_SH_11(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489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7A"/>
    <w:rsid w:val="00072C6A"/>
    <w:rsid w:val="002A0C0F"/>
    <w:rsid w:val="002A555B"/>
    <w:rsid w:val="0032147A"/>
    <w:rsid w:val="003F41B3"/>
    <w:rsid w:val="00674859"/>
    <w:rsid w:val="00873997"/>
    <w:rsid w:val="008D6293"/>
    <w:rsid w:val="00A53B7A"/>
    <w:rsid w:val="00AC0E1A"/>
    <w:rsid w:val="00AE1E00"/>
    <w:rsid w:val="00B051AD"/>
    <w:rsid w:val="00B62DF6"/>
    <w:rsid w:val="00CD104C"/>
    <w:rsid w:val="00CF4A18"/>
    <w:rsid w:val="00D64B42"/>
    <w:rsid w:val="00D8525F"/>
    <w:rsid w:val="00E94098"/>
    <w:rsid w:val="00F269A2"/>
    <w:rsid w:val="00FA4B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34DEB9-91B6-4C3F-8C36-F39F8ED0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7A"/>
    <w:pPr>
      <w:tabs>
        <w:tab w:val="left" w:pos="1134"/>
        <w:tab w:val="right" w:pos="4394"/>
        <w:tab w:val="right" w:pos="8789"/>
      </w:tabs>
      <w:spacing w:after="0" w:line="340" w:lineRule="atLeast"/>
    </w:pPr>
    <w:rPr>
      <w:rFonts w:ascii="Garamond" w:eastAsia="Times New Roman" w:hAnsi="Garamond"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32147A"/>
    <w:pPr>
      <w:tabs>
        <w:tab w:val="clear" w:pos="1134"/>
      </w:tabs>
    </w:pPr>
  </w:style>
  <w:style w:type="character" w:customStyle="1" w:styleId="SidehovedTegn">
    <w:name w:val="Sidehoved Tegn"/>
    <w:basedOn w:val="Standardskrifttypeiafsnit"/>
    <w:link w:val="Sidehoved"/>
    <w:rsid w:val="0032147A"/>
    <w:rPr>
      <w:rFonts w:ascii="Garamond" w:eastAsia="Times New Roman" w:hAnsi="Garamond" w:cs="Times New Roman"/>
      <w:sz w:val="24"/>
      <w:szCs w:val="20"/>
      <w:lang w:eastAsia="da-DK"/>
    </w:rPr>
  </w:style>
  <w:style w:type="paragraph" w:styleId="Sidefod">
    <w:name w:val="footer"/>
    <w:basedOn w:val="Normal"/>
    <w:link w:val="SidefodTegn"/>
    <w:uiPriority w:val="99"/>
    <w:rsid w:val="0032147A"/>
    <w:pPr>
      <w:tabs>
        <w:tab w:val="clear" w:pos="1134"/>
        <w:tab w:val="center" w:pos="4819"/>
        <w:tab w:val="right" w:pos="9638"/>
      </w:tabs>
    </w:pPr>
  </w:style>
  <w:style w:type="character" w:customStyle="1" w:styleId="SidefodTegn">
    <w:name w:val="Sidefod Tegn"/>
    <w:basedOn w:val="Standardskrifttypeiafsnit"/>
    <w:link w:val="Sidefod"/>
    <w:uiPriority w:val="99"/>
    <w:rsid w:val="0032147A"/>
    <w:rPr>
      <w:rFonts w:ascii="Garamond" w:eastAsia="Times New Roman" w:hAnsi="Garamond"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701</Words>
  <Characters>4547</Characters>
  <Application>Microsoft Office Word</Application>
  <DocSecurity>0</DocSecurity>
  <Lines>181</Lines>
  <Paragraphs>81</Paragraphs>
  <ScaleCrop>false</ScaleCrop>
  <Company>Statens It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Lambert</dc:creator>
  <cp:keywords/>
  <dc:description/>
  <cp:lastModifiedBy>Mikkel Lambert</cp:lastModifiedBy>
  <cp:revision>2</cp:revision>
  <dcterms:created xsi:type="dcterms:W3CDTF">2020-09-14T09:27:00Z</dcterms:created>
  <dcterms:modified xsi:type="dcterms:W3CDTF">2020-09-14T12:10:00Z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