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1" w:rsidRDefault="00382581">
      <w:bookmarkStart w:id="0" w:name="_GoBack"/>
      <w:bookmarkEnd w:id="0"/>
    </w:p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tbl>
      <w:tblPr>
        <w:tblW w:w="850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382581">
        <w:trPr>
          <w:trHeight w:hRule="exact" w:val="984"/>
        </w:trPr>
        <w:tc>
          <w:tcPr>
            <w:tcW w:w="8505" w:type="dxa"/>
            <w:shd w:val="clear" w:color="auto" w:fill="auto"/>
            <w:vAlign w:val="bottom"/>
          </w:tcPr>
          <w:p w:rsidR="00382581" w:rsidRDefault="00C62964">
            <w:pPr>
              <w:pStyle w:val="DokTitel"/>
            </w:pPr>
            <w:r>
              <w:t>SLKS specifikation</w:t>
            </w:r>
          </w:p>
        </w:tc>
      </w:tr>
      <w:tr w:rsidR="00382581">
        <w:trPr>
          <w:trHeight w:hRule="exact" w:val="984"/>
        </w:trPr>
        <w:tc>
          <w:tcPr>
            <w:tcW w:w="8505" w:type="dxa"/>
            <w:shd w:val="clear" w:color="auto" w:fill="auto"/>
          </w:tcPr>
          <w:p w:rsidR="00382581" w:rsidRDefault="00C62964">
            <w:pPr>
              <w:pStyle w:val="DokTite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aflevering af drifts- og vedligeholdsoplysninger</w:t>
            </w:r>
          </w:p>
          <w:p w:rsidR="00382581" w:rsidRDefault="00BE2B9F" w:rsidP="00BE2B9F">
            <w:pPr>
              <w:pStyle w:val="DokTite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8.12.</w:t>
            </w:r>
            <w:r w:rsidR="00C62964">
              <w:rPr>
                <w:sz w:val="18"/>
                <w:szCs w:val="18"/>
              </w:rPr>
              <w:t>2016</w:t>
            </w:r>
          </w:p>
        </w:tc>
      </w:tr>
    </w:tbl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C62964" w:rsidRDefault="00C62964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C62964" w:rsidRDefault="00C62964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C62964" w:rsidRDefault="00C62964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C62964" w:rsidRDefault="00C62964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C62964" w:rsidRDefault="00C62964">
      <w:pPr>
        <w:tabs>
          <w:tab w:val="clear" w:pos="284"/>
        </w:tabs>
        <w:spacing w:line="240" w:lineRule="auto"/>
        <w:rPr>
          <w:sz w:val="24"/>
          <w:szCs w:val="24"/>
        </w:rPr>
      </w:pPr>
    </w:p>
    <w:p w:rsidR="00382581" w:rsidRDefault="00382581">
      <w:pPr>
        <w:tabs>
          <w:tab w:val="clear" w:pos="284"/>
        </w:tabs>
        <w:spacing w:line="240" w:lineRule="auto"/>
      </w:pPr>
    </w:p>
    <w:p w:rsidR="00382581" w:rsidRDefault="00C62964">
      <w:pPr>
        <w:pStyle w:val="Overskrift1"/>
      </w:pPr>
      <w:bookmarkStart w:id="1" w:name="_Toc422471427"/>
      <w:r>
        <w:lastRenderedPageBreak/>
        <w:t>1. Orientering</w:t>
      </w:r>
      <w:bookmarkEnd w:id="1"/>
    </w:p>
    <w:p w:rsidR="00382581" w:rsidRDefault="00382581"/>
    <w:p w:rsidR="00382581" w:rsidRDefault="00C62964">
      <w:r>
        <w:t xml:space="preserve">Formålet med denne specifikation er at sikre, at driftsorganisationen overdrages det bedst mulige </w:t>
      </w:r>
      <w:proofErr w:type="spellStart"/>
      <w:r>
        <w:t>vidensgrun</w:t>
      </w:r>
      <w:r>
        <w:t>d</w:t>
      </w:r>
      <w:r>
        <w:t>lag</w:t>
      </w:r>
      <w:proofErr w:type="spellEnd"/>
      <w:r>
        <w:t xml:space="preserve"> for den fremadrettede drift og vedligehold (herefter D&amp;V) af bygninger og installationer.</w:t>
      </w:r>
    </w:p>
    <w:p w:rsidR="00382581" w:rsidRDefault="00C62964">
      <w:r>
        <w:t>Afleveret materiale skal medvirke til, at garantiforpligtelser og myndighedskrav overholdes, at bygningsdele og installationer opretholdes i bedst mulige stand, og at omkostninger til D&amp;V minimeres.</w:t>
      </w:r>
    </w:p>
    <w:p w:rsidR="00382581" w:rsidRDefault="00C62964">
      <w:r>
        <w:br/>
        <w:t>Denne specifikation beskriver således udfaldskrav til D&amp;V-materiale, leveret som dokumentation til Slots- og Kulturstyrelsen. D&amp;V materiale leveres inden endt entreprise jf. figur. Undtaget er kontrol- og indreguleringsra</w:t>
      </w:r>
      <w:r>
        <w:t>p</w:t>
      </w:r>
      <w:r>
        <w:t>porter samt anden dokumentation, som kun kan udarbejdes efter idriftsættelse.</w:t>
      </w:r>
      <w:r>
        <w:br/>
      </w:r>
      <w:r>
        <w:br/>
        <w:t>Frister for dokumentationens aflevering, godkendelse og evt. fejlrettelser fremgår af IKT-aftalen.</w:t>
      </w:r>
    </w:p>
    <w:p w:rsidR="00382581" w:rsidRDefault="00382581"/>
    <w:p w:rsidR="00382581" w:rsidRDefault="00382581"/>
    <w:p w:rsidR="00382581" w:rsidRDefault="00382581"/>
    <w:p w:rsidR="00382581" w:rsidRDefault="00C62964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23817</wp:posOffset>
            </wp:positionV>
            <wp:extent cx="5850255" cy="15608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C62964">
      <w:pPr>
        <w:pStyle w:val="Overskrift1"/>
      </w:pPr>
      <w:r>
        <w:t>2. Proces for aflevering</w:t>
      </w:r>
    </w:p>
    <w:p w:rsidR="00382581" w:rsidRDefault="00382581">
      <w:pPr>
        <w:pStyle w:val="Overskrift1"/>
        <w:rPr>
          <w:noProof/>
          <w:lang w:eastAsia="da-DK"/>
        </w:rPr>
      </w:pPr>
    </w:p>
    <w:p w:rsidR="00382581" w:rsidRDefault="00C62964">
      <w:pPr>
        <w:pStyle w:val="Overskrift1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-273846</wp:posOffset>
            </wp:positionH>
            <wp:positionV relativeFrom="paragraph">
              <wp:posOffset>3175</wp:posOffset>
            </wp:positionV>
            <wp:extent cx="6406168" cy="2088107"/>
            <wp:effectExtent l="0" t="0" r="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ever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168" cy="208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81" w:rsidRDefault="00C62964">
      <w:pPr>
        <w:pStyle w:val="Overskrift1"/>
      </w:pPr>
      <w:r>
        <w:br/>
      </w:r>
    </w:p>
    <w:p w:rsidR="00382581" w:rsidRDefault="00382581"/>
    <w:p w:rsidR="00382581" w:rsidRDefault="00382581"/>
    <w:p w:rsidR="00382581" w:rsidRDefault="00382581"/>
    <w:p w:rsidR="00382581" w:rsidRDefault="00C62964">
      <w:pPr>
        <w:pStyle w:val="Overskrift1"/>
      </w:pPr>
      <w:bookmarkStart w:id="2" w:name="_Toc422471428"/>
      <w:r>
        <w:br/>
      </w:r>
    </w:p>
    <w:p w:rsidR="00382581" w:rsidRDefault="00382581"/>
    <w:p w:rsidR="00382581" w:rsidRDefault="00382581"/>
    <w:p w:rsidR="00382581" w:rsidRDefault="00382581"/>
    <w:p w:rsidR="00382581" w:rsidRDefault="00382581"/>
    <w:p w:rsidR="00382581" w:rsidRDefault="00C62964">
      <w:r>
        <w:t>*Relevante D&amp;V data: se næste afsnit</w:t>
      </w:r>
    </w:p>
    <w:p w:rsidR="00382581" w:rsidRDefault="00382581"/>
    <w:p w:rsidR="00382581" w:rsidRDefault="00382581"/>
    <w:p w:rsidR="00382581" w:rsidRDefault="00382581"/>
    <w:p w:rsidR="00382581" w:rsidRDefault="00382581"/>
    <w:p w:rsidR="00382581" w:rsidRDefault="00C62964">
      <w:pPr>
        <w:pStyle w:val="Overskrift1"/>
      </w:pPr>
      <w:r>
        <w:lastRenderedPageBreak/>
        <w:t xml:space="preserve">3. </w:t>
      </w:r>
      <w:bookmarkEnd w:id="2"/>
      <w:r>
        <w:t>Krav til afleveret D&amp;V materiale</w:t>
      </w:r>
    </w:p>
    <w:p w:rsidR="00382581" w:rsidRDefault="00C62964">
      <w:pPr>
        <w:pStyle w:val="Overskrift2"/>
      </w:pPr>
      <w:bookmarkStart w:id="3" w:name="_Toc422471462"/>
      <w:r>
        <w:br/>
        <w:t xml:space="preserve">3.1 </w:t>
      </w:r>
      <w:bookmarkEnd w:id="3"/>
      <w:r>
        <w:t>Omfang</w:t>
      </w:r>
    </w:p>
    <w:p w:rsidR="00382581" w:rsidRDefault="00C62964">
      <w:r>
        <w:t>Der afleveres relevant D&amp;V dokumentation.</w:t>
      </w:r>
      <w:r>
        <w:br/>
      </w:r>
    </w:p>
    <w:p w:rsidR="00382581" w:rsidRDefault="00C62964">
      <w:pPr>
        <w:pStyle w:val="Overskrift3"/>
      </w:pPr>
      <w:r>
        <w:t>Relevante bygningsdelsbeskrivelser</w:t>
      </w:r>
    </w:p>
    <w:p w:rsidR="00382581" w:rsidRDefault="00C62964">
      <w:r>
        <w:t>Der leveres bygningsdelsbeskrivelser for:</w:t>
      </w:r>
    </w:p>
    <w:p w:rsidR="00382581" w:rsidRDefault="00C62964">
      <w:r>
        <w:t>• Bygningsdelstyper beskrevet i SLKS Standarder (</w:t>
      </w:r>
      <w:r w:rsidR="006B3CB9">
        <w:t xml:space="preserve">bilag </w:t>
      </w:r>
      <w:r w:rsidR="00BE2B9F">
        <w:t>5.1</w:t>
      </w:r>
      <w:r>
        <w:t xml:space="preserve"> til IKT-aftalen)</w:t>
      </w:r>
    </w:p>
    <w:p w:rsidR="00382581" w:rsidRDefault="00C62964">
      <w:r>
        <w:t>• Bygningsdele omfattet af garantiforpligtelse</w:t>
      </w:r>
      <w:r>
        <w:br/>
        <w:t>• Bygningsdele omfattet af myndighedskrav, fx lovpligtige eftersyn</w:t>
      </w:r>
    </w:p>
    <w:p w:rsidR="00382581" w:rsidRDefault="00382581"/>
    <w:p w:rsidR="00382581" w:rsidRDefault="00C62964">
      <w:pPr>
        <w:pStyle w:val="Overskrift3"/>
      </w:pPr>
      <w:r>
        <w:t>Relevante vedligeholdsaktiviteter</w:t>
      </w:r>
    </w:p>
    <w:p w:rsidR="00382581" w:rsidRDefault="00C62964">
      <w:r>
        <w:t>Der leveres beskrivelser af vedligehold som udføres på ovenstående bygningsdele med følgende formål:</w:t>
      </w:r>
    </w:p>
    <w:p w:rsidR="00382581" w:rsidRDefault="00C62964">
      <w:r>
        <w:t>• Overholde garanti</w:t>
      </w:r>
    </w:p>
    <w:p w:rsidR="00382581" w:rsidRDefault="00C62964">
      <w:r>
        <w:t>• Efterkomme myndighedskrav</w:t>
      </w:r>
    </w:p>
    <w:p w:rsidR="00382581" w:rsidRDefault="00C62964">
      <w:r>
        <w:t>• Sikre den angivne levetid.</w:t>
      </w:r>
    </w:p>
    <w:p w:rsidR="00382581" w:rsidRDefault="00382581"/>
    <w:p w:rsidR="00382581" w:rsidRDefault="00C62964">
      <w:pPr>
        <w:pStyle w:val="Overskrift3"/>
      </w:pPr>
      <w:r>
        <w:t>Relevante dokumenter</w:t>
      </w:r>
    </w:p>
    <w:p w:rsidR="00382581" w:rsidRDefault="00C62964">
      <w:r>
        <w:t>D&amp;V-dokumentationen skal som udgangspunkt indeholde følgende:</w:t>
      </w:r>
    </w:p>
    <w:p w:rsidR="00382581" w:rsidRDefault="00382581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5266"/>
        <w:gridCol w:w="3085"/>
      </w:tblGrid>
      <w:tr w:rsidR="00382581">
        <w:tc>
          <w:tcPr>
            <w:tcW w:w="546" w:type="dxa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Ref.</w:t>
            </w:r>
          </w:p>
        </w:tc>
        <w:tc>
          <w:tcPr>
            <w:tcW w:w="5266" w:type="dxa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085" w:type="dxa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a</w:t>
            </w:r>
          </w:p>
        </w:tc>
        <w:tc>
          <w:tcPr>
            <w:tcW w:w="5266" w:type="dxa"/>
          </w:tcPr>
          <w:p w:rsidR="00382581" w:rsidRDefault="00C62964">
            <w:r>
              <w:t>Stamdata pr. bygningsdel</w:t>
            </w:r>
          </w:p>
        </w:tc>
        <w:tc>
          <w:tcPr>
            <w:tcW w:w="3085" w:type="dxa"/>
          </w:tcPr>
          <w:p w:rsidR="00382581" w:rsidRDefault="00C62964">
            <w:r>
              <w:t>Indtastet i SLKS Excel skema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b</w:t>
            </w:r>
          </w:p>
        </w:tc>
        <w:tc>
          <w:tcPr>
            <w:tcW w:w="5266" w:type="dxa"/>
          </w:tcPr>
          <w:p w:rsidR="00382581" w:rsidRDefault="00C62964">
            <w:r>
              <w:t>Vedligeholdsaktiviteter pr. bygningsdel med interval</w:t>
            </w:r>
          </w:p>
        </w:tc>
        <w:tc>
          <w:tcPr>
            <w:tcW w:w="3085" w:type="dxa"/>
          </w:tcPr>
          <w:p w:rsidR="00382581" w:rsidRDefault="00C62964">
            <w:r>
              <w:t>Indtastet i SLKS Excel skema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c</w:t>
            </w:r>
          </w:p>
        </w:tc>
        <w:tc>
          <w:tcPr>
            <w:tcW w:w="5266" w:type="dxa"/>
          </w:tcPr>
          <w:p w:rsidR="00382581" w:rsidRDefault="00C62964">
            <w:r>
              <w:t>System- og anlægstegninger samt processkemaer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d</w:t>
            </w:r>
          </w:p>
        </w:tc>
        <w:tc>
          <w:tcPr>
            <w:tcW w:w="5266" w:type="dxa"/>
          </w:tcPr>
          <w:p w:rsidR="00382581" w:rsidRDefault="00C62964">
            <w:r>
              <w:t>Prøvningsdokumentation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e</w:t>
            </w:r>
          </w:p>
        </w:tc>
        <w:tc>
          <w:tcPr>
            <w:tcW w:w="5266" w:type="dxa"/>
          </w:tcPr>
          <w:p w:rsidR="00382581" w:rsidRDefault="00C62964">
            <w:r>
              <w:t>Indreguleringsrapporter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f</w:t>
            </w:r>
          </w:p>
        </w:tc>
        <w:tc>
          <w:tcPr>
            <w:tcW w:w="5266" w:type="dxa"/>
          </w:tcPr>
          <w:p w:rsidR="00382581" w:rsidRDefault="00C62964">
            <w:r>
              <w:t>Certifikater herunder CE mærkning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g</w:t>
            </w:r>
          </w:p>
        </w:tc>
        <w:tc>
          <w:tcPr>
            <w:tcW w:w="5266" w:type="dxa"/>
          </w:tcPr>
          <w:p w:rsidR="00382581" w:rsidRDefault="00C62964">
            <w:r>
              <w:t>Funktionsbeskrivelser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h</w:t>
            </w:r>
          </w:p>
        </w:tc>
        <w:tc>
          <w:tcPr>
            <w:tcW w:w="5266" w:type="dxa"/>
          </w:tcPr>
          <w:p w:rsidR="00382581" w:rsidRDefault="00C62964">
            <w:r>
              <w:t>Driftsvejledning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i</w:t>
            </w:r>
          </w:p>
        </w:tc>
        <w:tc>
          <w:tcPr>
            <w:tcW w:w="5266" w:type="dxa"/>
          </w:tcPr>
          <w:p w:rsidR="00382581" w:rsidRDefault="00C62964">
            <w:r>
              <w:t>Vedligeholdelsesanvisning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j</w:t>
            </w:r>
          </w:p>
        </w:tc>
        <w:tc>
          <w:tcPr>
            <w:tcW w:w="5266" w:type="dxa"/>
          </w:tcPr>
          <w:p w:rsidR="00382581" w:rsidRDefault="00C62964">
            <w:r>
              <w:t>Reparations- og udskiftningsanvisninger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k</w:t>
            </w:r>
          </w:p>
        </w:tc>
        <w:tc>
          <w:tcPr>
            <w:tcW w:w="5266" w:type="dxa"/>
          </w:tcPr>
          <w:p w:rsidR="00382581" w:rsidRDefault="00C62964">
            <w:r>
              <w:t>Driftsoplysninger herunder specifikke energiforbrug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l</w:t>
            </w:r>
          </w:p>
        </w:tc>
        <w:tc>
          <w:tcPr>
            <w:tcW w:w="5266" w:type="dxa"/>
          </w:tcPr>
          <w:p w:rsidR="00382581" w:rsidRDefault="00C62964">
            <w:r>
              <w:t>Testrapporter og kontrolrapporter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m</w:t>
            </w:r>
          </w:p>
        </w:tc>
        <w:tc>
          <w:tcPr>
            <w:tcW w:w="5266" w:type="dxa"/>
          </w:tcPr>
          <w:p w:rsidR="00382581" w:rsidRDefault="00C62964">
            <w:r>
              <w:t>Servicekontrakter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n</w:t>
            </w:r>
          </w:p>
        </w:tc>
        <w:tc>
          <w:tcPr>
            <w:tcW w:w="5266" w:type="dxa"/>
          </w:tcPr>
          <w:p w:rsidR="00382581" w:rsidRDefault="00C62964">
            <w:r>
              <w:t>Adgangsforhold for servicering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  <w:tr w:rsidR="00382581">
        <w:tc>
          <w:tcPr>
            <w:tcW w:w="546" w:type="dxa"/>
          </w:tcPr>
          <w:p w:rsidR="00382581" w:rsidRDefault="00C62964">
            <w:pPr>
              <w:jc w:val="right"/>
            </w:pPr>
            <w:r>
              <w:t>o</w:t>
            </w:r>
          </w:p>
        </w:tc>
        <w:tc>
          <w:tcPr>
            <w:tcW w:w="5266" w:type="dxa"/>
          </w:tcPr>
          <w:p w:rsidR="00382581" w:rsidRDefault="00C62964">
            <w:r>
              <w:t>Risikovurdering af maskinanlæg</w:t>
            </w:r>
          </w:p>
        </w:tc>
        <w:tc>
          <w:tcPr>
            <w:tcW w:w="3085" w:type="dxa"/>
          </w:tcPr>
          <w:p w:rsidR="00382581" w:rsidRDefault="00C62964">
            <w:r>
              <w:t>Som vedlagte dokumenter</w:t>
            </w:r>
          </w:p>
        </w:tc>
      </w:tr>
    </w:tbl>
    <w:p w:rsidR="00382581" w:rsidRDefault="00382581">
      <w:pPr>
        <w:pStyle w:val="Overskrift2"/>
      </w:pPr>
    </w:p>
    <w:p w:rsidR="00382581" w:rsidRDefault="00C62964">
      <w:pPr>
        <w:pStyle w:val="Overskrift2"/>
      </w:pPr>
      <w:r>
        <w:t>3.2 Indtastning af bygningsdele og vedligeholdsaktiviteter</w:t>
      </w:r>
    </w:p>
    <w:p w:rsidR="00382581" w:rsidRDefault="00C62964">
      <w:r>
        <w:t xml:space="preserve">Excel skemaet </w:t>
      </w:r>
      <w:r w:rsidR="00BE2B9F">
        <w:rPr>
          <w:i/>
        </w:rPr>
        <w:t xml:space="preserve">bilag </w:t>
      </w:r>
      <w:r>
        <w:rPr>
          <w:i/>
        </w:rPr>
        <w:t>5</w:t>
      </w:r>
      <w:r w:rsidR="00BE2B9F">
        <w:rPr>
          <w:i/>
        </w:rPr>
        <w:t xml:space="preserve">.5 </w:t>
      </w:r>
      <w:r>
        <w:rPr>
          <w:i/>
        </w:rPr>
        <w:t>Skema_Aflevering af bygningsdele og vedligeholdsaktiviteter</w:t>
      </w:r>
      <w:r>
        <w:t xml:space="preserve"> er et bilag til IKT-aftalen og indeholder felter til indtastning af bygningsdele og vedligeholdsaktiviteter, jf. 3.1 Omfang.</w:t>
      </w:r>
      <w:r>
        <w:br/>
        <w:t>Skemaet er inddelt i felter, således at det umiddelbart kan importeres i SLKS’ drift- og vedligeholdssystem.</w:t>
      </w:r>
    </w:p>
    <w:p w:rsidR="00382581" w:rsidRDefault="00382581">
      <w:pPr>
        <w:pStyle w:val="Overskrift3"/>
      </w:pPr>
    </w:p>
    <w:p w:rsidR="00382581" w:rsidRDefault="00C62964">
      <w:pPr>
        <w:pStyle w:val="Overskrift3"/>
      </w:pPr>
      <w:r>
        <w:t>Indtastning af bygningsdele</w:t>
      </w:r>
    </w:p>
    <w:p w:rsidR="00382581" w:rsidRDefault="00C62964">
      <w:r>
        <w:t>Der indtastes kun bygningsdele, som har relevante vedligeholdsaktiviteter tilknyttet.</w:t>
      </w:r>
    </w:p>
    <w:p w:rsidR="00382581" w:rsidRDefault="00C62964">
      <w:r>
        <w:t>Der indtastes placering (kolonne A-D) og stamdata (kolonne E-L).</w:t>
      </w:r>
    </w:p>
    <w:p w:rsidR="00382581" w:rsidRDefault="00C62964">
      <w:r>
        <w:t>Identiske bygningsdele skal kun opføres på én række; antal angives i kolonne G.</w:t>
      </w:r>
    </w:p>
    <w:p w:rsidR="00382581" w:rsidRDefault="00382581"/>
    <w:p w:rsidR="00382581" w:rsidRDefault="00C62964">
      <w:r>
        <w:rPr>
          <w:b/>
        </w:rPr>
        <w:t>Anlæg og komponenter</w:t>
      </w:r>
      <w:r>
        <w:br/>
      </w:r>
      <w:r>
        <w:rPr>
          <w:b/>
        </w:rPr>
        <w:t>Navn</w:t>
      </w:r>
      <w:r>
        <w:t xml:space="preserve"> på anlæg indtastes altid for såvel anlæg som komponenter.</w:t>
      </w:r>
    </w:p>
    <w:p w:rsidR="00382581" w:rsidRDefault="00C62964">
      <w:r>
        <w:lastRenderedPageBreak/>
        <w:t>Bemærk at anlægsnavn skal være sigende og unik indenfor projektet.</w:t>
      </w:r>
    </w:p>
    <w:p w:rsidR="00382581" w:rsidRDefault="00382581"/>
    <w:p w:rsidR="00382581" w:rsidRDefault="00C62964">
      <w:r>
        <w:t>Komponenter indtastes, så de danne sammenhængende rækker med anlægget.</w:t>
      </w:r>
    </w:p>
    <w:p w:rsidR="00382581" w:rsidRDefault="00C62964">
      <w:r>
        <w:t>Eksempel:</w:t>
      </w:r>
    </w:p>
    <w:tbl>
      <w:tblPr>
        <w:tblStyle w:val="Tabel-Gitter"/>
        <w:tblpPr w:leftFromText="141" w:rightFromText="141" w:vertAnchor="text" w:horzAnchor="margin" w:tblpX="108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382581">
        <w:tc>
          <w:tcPr>
            <w:tcW w:w="1809" w:type="dxa"/>
            <w:shd w:val="clear" w:color="auto" w:fill="F2F2F2" w:themeFill="background1" w:themeFillShade="F2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Anlæg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Komponenter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-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Komponent A1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Komponent A2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Komponent A3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B</w:t>
            </w:r>
          </w:p>
        </w:tc>
        <w:tc>
          <w:tcPr>
            <w:tcW w:w="2410" w:type="dxa"/>
          </w:tcPr>
          <w:p w:rsidR="00382581" w:rsidRDefault="00C62964">
            <w:r>
              <w:t>-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B</w:t>
            </w:r>
          </w:p>
        </w:tc>
        <w:tc>
          <w:tcPr>
            <w:tcW w:w="2410" w:type="dxa"/>
          </w:tcPr>
          <w:p w:rsidR="00382581" w:rsidRDefault="00C62964">
            <w:r>
              <w:t>Komponent B1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etc.</w:t>
            </w:r>
          </w:p>
        </w:tc>
        <w:tc>
          <w:tcPr>
            <w:tcW w:w="2410" w:type="dxa"/>
          </w:tcPr>
          <w:p w:rsidR="00382581" w:rsidRDefault="00382581"/>
        </w:tc>
      </w:tr>
    </w:tbl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C62964">
      <w:r>
        <w:br/>
      </w:r>
    </w:p>
    <w:p w:rsidR="00382581" w:rsidRDefault="00C62964">
      <w:r>
        <w:t>Der indtastes kun komponenter, som har relevante vedligeholdsaktiviteter tilknyttet.</w:t>
      </w:r>
    </w:p>
    <w:p w:rsidR="00382581" w:rsidRDefault="00C62964">
      <w:pPr>
        <w:pStyle w:val="Overskrift3"/>
      </w:pPr>
      <w:r>
        <w:br/>
        <w:t>Indtastning af vedligeholdsaktiviteter</w:t>
      </w:r>
    </w:p>
    <w:p w:rsidR="00382581" w:rsidRDefault="00C62964">
      <w:r>
        <w:t>Vedligeholdsaktiviteter indtastes i tilknytning til bygningsdelen.</w:t>
      </w:r>
    </w:p>
    <w:p w:rsidR="00382581" w:rsidRDefault="00C62964">
      <w:r>
        <w:t>Hvis der er flere vedligeholdsaktiviteter på samme bygningsdel, indsættes flere rækker.</w:t>
      </w:r>
    </w:p>
    <w:p w:rsidR="00382581" w:rsidRDefault="00C62964">
      <w:r>
        <w:t>Eksempel:</w:t>
      </w:r>
    </w:p>
    <w:tbl>
      <w:tblPr>
        <w:tblStyle w:val="Tabel-Gitter"/>
        <w:tblpPr w:leftFromText="141" w:rightFromText="141" w:vertAnchor="text" w:horzAnchor="margin" w:tblpX="74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</w:tblGrid>
      <w:tr w:rsidR="00382581">
        <w:tc>
          <w:tcPr>
            <w:tcW w:w="1809" w:type="dxa"/>
            <w:shd w:val="clear" w:color="auto" w:fill="F2F2F2" w:themeFill="background1" w:themeFillShade="F2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Anlæg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Komponenter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82581" w:rsidRDefault="00C62964">
            <w:pPr>
              <w:rPr>
                <w:b/>
              </w:rPr>
            </w:pPr>
            <w:r>
              <w:rPr>
                <w:b/>
              </w:rPr>
              <w:t>Vedligeholdsaktiviteter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-</w:t>
            </w:r>
          </w:p>
        </w:tc>
        <w:tc>
          <w:tcPr>
            <w:tcW w:w="2693" w:type="dxa"/>
          </w:tcPr>
          <w:p w:rsidR="00382581" w:rsidRDefault="00C62964">
            <w:r>
              <w:t>Vedligeholdsaktivitet A.1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Komponent A1</w:t>
            </w:r>
          </w:p>
        </w:tc>
        <w:tc>
          <w:tcPr>
            <w:tcW w:w="2693" w:type="dxa"/>
          </w:tcPr>
          <w:p w:rsidR="00382581" w:rsidRDefault="00C62964">
            <w:r>
              <w:t>Vedligeholdsaktivitet A1.1</w:t>
            </w:r>
          </w:p>
        </w:tc>
      </w:tr>
      <w:tr w:rsidR="00382581">
        <w:tc>
          <w:tcPr>
            <w:tcW w:w="1809" w:type="dxa"/>
          </w:tcPr>
          <w:p w:rsidR="00382581" w:rsidRDefault="00382581"/>
        </w:tc>
        <w:tc>
          <w:tcPr>
            <w:tcW w:w="2410" w:type="dxa"/>
          </w:tcPr>
          <w:p w:rsidR="00382581" w:rsidRDefault="00382581"/>
        </w:tc>
        <w:tc>
          <w:tcPr>
            <w:tcW w:w="2693" w:type="dxa"/>
          </w:tcPr>
          <w:p w:rsidR="00382581" w:rsidRDefault="00C62964">
            <w:r>
              <w:t>Vedligeholdsaktivitet A1.2</w:t>
            </w:r>
          </w:p>
        </w:tc>
      </w:tr>
      <w:tr w:rsidR="00382581">
        <w:tc>
          <w:tcPr>
            <w:tcW w:w="1809" w:type="dxa"/>
          </w:tcPr>
          <w:p w:rsidR="00382581" w:rsidRDefault="00382581"/>
        </w:tc>
        <w:tc>
          <w:tcPr>
            <w:tcW w:w="2410" w:type="dxa"/>
          </w:tcPr>
          <w:p w:rsidR="00382581" w:rsidRDefault="00382581"/>
        </w:tc>
        <w:tc>
          <w:tcPr>
            <w:tcW w:w="2693" w:type="dxa"/>
          </w:tcPr>
          <w:p w:rsidR="00382581" w:rsidRDefault="00C62964">
            <w:r>
              <w:t>Vedligeholdsaktivitet A1.3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A</w:t>
            </w:r>
          </w:p>
        </w:tc>
        <w:tc>
          <w:tcPr>
            <w:tcW w:w="2410" w:type="dxa"/>
          </w:tcPr>
          <w:p w:rsidR="00382581" w:rsidRDefault="00C62964">
            <w:r>
              <w:t>Komponent A2</w:t>
            </w:r>
          </w:p>
        </w:tc>
        <w:tc>
          <w:tcPr>
            <w:tcW w:w="2693" w:type="dxa"/>
          </w:tcPr>
          <w:p w:rsidR="00382581" w:rsidRDefault="00C62964">
            <w:r>
              <w:t>Vedligeholdsaktivitet A2.1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B</w:t>
            </w:r>
          </w:p>
        </w:tc>
        <w:tc>
          <w:tcPr>
            <w:tcW w:w="2410" w:type="dxa"/>
          </w:tcPr>
          <w:p w:rsidR="00382581" w:rsidRDefault="00C62964">
            <w:r>
              <w:t>-</w:t>
            </w:r>
          </w:p>
        </w:tc>
        <w:tc>
          <w:tcPr>
            <w:tcW w:w="2693" w:type="dxa"/>
          </w:tcPr>
          <w:p w:rsidR="00382581" w:rsidRDefault="00C62964">
            <w:r>
              <w:t>Vedligeholdsaktivitet B.1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Anlæg  B</w:t>
            </w:r>
          </w:p>
        </w:tc>
        <w:tc>
          <w:tcPr>
            <w:tcW w:w="2410" w:type="dxa"/>
          </w:tcPr>
          <w:p w:rsidR="00382581" w:rsidRDefault="00C62964">
            <w:r>
              <w:t>Komponent B1</w:t>
            </w:r>
          </w:p>
        </w:tc>
        <w:tc>
          <w:tcPr>
            <w:tcW w:w="2693" w:type="dxa"/>
          </w:tcPr>
          <w:p w:rsidR="00382581" w:rsidRDefault="00C62964">
            <w:r>
              <w:t>Vedligeholdsaktivitet B1.1</w:t>
            </w:r>
          </w:p>
        </w:tc>
      </w:tr>
      <w:tr w:rsidR="00382581">
        <w:tc>
          <w:tcPr>
            <w:tcW w:w="1809" w:type="dxa"/>
          </w:tcPr>
          <w:p w:rsidR="00382581" w:rsidRDefault="00C62964">
            <w:r>
              <w:t>etc.</w:t>
            </w:r>
          </w:p>
        </w:tc>
        <w:tc>
          <w:tcPr>
            <w:tcW w:w="2410" w:type="dxa"/>
          </w:tcPr>
          <w:p w:rsidR="00382581" w:rsidRDefault="00382581"/>
        </w:tc>
        <w:tc>
          <w:tcPr>
            <w:tcW w:w="2693" w:type="dxa"/>
          </w:tcPr>
          <w:p w:rsidR="00382581" w:rsidRDefault="00382581"/>
        </w:tc>
      </w:tr>
    </w:tbl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382581"/>
    <w:p w:rsidR="00382581" w:rsidRDefault="00C62964">
      <w:pPr>
        <w:rPr>
          <w:b/>
        </w:rPr>
      </w:pPr>
      <w:r>
        <w:br/>
      </w:r>
    </w:p>
    <w:p w:rsidR="00382581" w:rsidRDefault="00C62964">
      <w:r>
        <w:rPr>
          <w:b/>
        </w:rPr>
        <w:t>Titel</w:t>
      </w:r>
      <w:r>
        <w:t xml:space="preserve"> på vedligeholdsaktivitet skal være sigende og referere til den omfattede bygningsdel.</w:t>
      </w:r>
    </w:p>
    <w:p w:rsidR="00382581" w:rsidRDefault="00C62964">
      <w:r>
        <w:t>Eksempel: ’Lovpligtig eftersyn af elevator’.</w:t>
      </w:r>
    </w:p>
    <w:p w:rsidR="00382581" w:rsidRDefault="00382581"/>
    <w:p w:rsidR="00382581" w:rsidRDefault="00C62964">
      <w:r>
        <w:rPr>
          <w:b/>
        </w:rPr>
        <w:t>Arbejdsbeskrivelse</w:t>
      </w:r>
      <w:r>
        <w:t xml:space="preserve"> skal være så kortfattet som muligt, men stadig fyldestgørende.</w:t>
      </w:r>
    </w:p>
    <w:p w:rsidR="00382581" w:rsidRDefault="00C62964">
      <w:r>
        <w:t xml:space="preserve">Arbejdsbeskrivelsen skal normalt ikke indehold detaljere af- og </w:t>
      </w:r>
      <w:proofErr w:type="spellStart"/>
      <w:r>
        <w:t>påmomnteringsvejledninger</w:t>
      </w:r>
      <w:proofErr w:type="spellEnd"/>
      <w:r>
        <w:t xml:space="preserve"> og lign.</w:t>
      </w:r>
      <w:r>
        <w:br/>
        <w:t>Arbejdsbeskrivelser som blot henviser til produktblad, vedligeholdsvejledning el. lign., accepteres ikke.</w:t>
      </w:r>
    </w:p>
    <w:p w:rsidR="00382581" w:rsidRDefault="00382581"/>
    <w:p w:rsidR="00382581" w:rsidRDefault="00C62964">
      <w:pPr>
        <w:pStyle w:val="Overskrift2"/>
      </w:pPr>
      <w:r>
        <w:t>3.3 Dokumenter</w:t>
      </w:r>
    </w:p>
    <w:p w:rsidR="00382581" w:rsidRDefault="00C62964">
      <w:r>
        <w:t>De afleverede dokumenter for en given bygningsdel omfatter SLKS Excel skema og alle øvrige dokumenter som skal anvendes i den efterfølgende drift.</w:t>
      </w:r>
      <w:r>
        <w:br/>
      </w:r>
    </w:p>
    <w:p w:rsidR="00382581" w:rsidRDefault="00C62964">
      <w:r>
        <w:t xml:space="preserve">Hver virksomheds IKT-ansvarlig jf. skemaet </w:t>
      </w:r>
      <w:r>
        <w:rPr>
          <w:i/>
        </w:rPr>
        <w:t>IKT organisation</w:t>
      </w:r>
      <w:r>
        <w:t xml:space="preserve"> (bilag til IKT-aftale) skal kvalitetssikre egne data inden aflevering.</w:t>
      </w:r>
    </w:p>
    <w:p w:rsidR="00382581" w:rsidRDefault="00C62964">
      <w:r>
        <w:t>Projektets IKT-koordinator skal sikre, at materiale er uploadet korrekt i projektweb, at skemaer er udfyldt, og at aftalte krav til filnavngivning er overholdt.</w:t>
      </w:r>
    </w:p>
    <w:p w:rsidR="00382581" w:rsidRDefault="00C62964">
      <w:r>
        <w:t xml:space="preserve">Dokumenter afleveres i aftalt mappe på projektweb jf. IKT-aftale. Mappen navngives med entreprisenummer. Medmindre andet er aftalt, afleveres alt materiale for en given entreprise i den samme mappe. </w:t>
      </w:r>
    </w:p>
    <w:p w:rsidR="00382581" w:rsidRDefault="00382581"/>
    <w:p w:rsidR="00382581" w:rsidRDefault="00C62964">
      <w:r>
        <w:t>Samlede produktkataloger m.v. accepteres ikke som del af D&amp;V materialet; kun de sider der er relevante for driften afleveres. PDF filer m.v. adskilles, så der kun afleveres relevante sider.</w:t>
      </w:r>
    </w:p>
    <w:p w:rsidR="00382581" w:rsidRDefault="00382581"/>
    <w:p w:rsidR="00382581" w:rsidRDefault="00C62964">
      <w:r>
        <w:t>Hvis der er mere end én af samme bygningsdel (type og fabrikat), skal der kun afleveres ét eksemplar af D&amp;V-materialet for bygningsdelen, og navngivningen skal indeholde komponentnavnet for den komponent med det laveste løbenummer. Hvis der ikke er brugt fortløbende løbenummer for ens komponenter, skal navngivningen godkendes af SLKS.</w:t>
      </w:r>
    </w:p>
    <w:p w:rsidR="00382581" w:rsidRDefault="00382581"/>
    <w:p w:rsidR="00382581" w:rsidRDefault="00C62964">
      <w:r>
        <w:t>Som udgangspunkt ønsker SLKS, at alle filerne er opdelt således, at ét dokument omfatter én bygningsdel eller bygningsdelstype. Hvis der undtagelsesvist afleveres dokumenter, som indeholder fælles D&amp;V-beskrivelser for flere bygningsdele eller installationer, skal dokumentet indeholde en forside med oversigt over de omfattede bygningsdele og anlægsnavne samt indholdsfortegnelse og sidenummerering.</w:t>
      </w:r>
      <w:bookmarkStart w:id="4" w:name="_Toc422471496"/>
    </w:p>
    <w:p w:rsidR="00382581" w:rsidRDefault="00382581"/>
    <w:p w:rsidR="00382581" w:rsidRDefault="00382581"/>
    <w:p w:rsidR="00382581" w:rsidRDefault="00C62964">
      <w:pPr>
        <w:pStyle w:val="Overskrift2"/>
      </w:pPr>
      <w:r>
        <w:t>3.4 Filnavngivning</w:t>
      </w:r>
    </w:p>
    <w:p w:rsidR="00382581" w:rsidRDefault="00382581"/>
    <w:p w:rsidR="00382581" w:rsidRDefault="00C62964">
      <w:r>
        <w:t>Filer navngives som vist:</w:t>
      </w:r>
    </w:p>
    <w:p w:rsidR="00382581" w:rsidRDefault="00382581"/>
    <w:p w:rsidR="00382581" w:rsidRDefault="00382581"/>
    <w:p w:rsidR="00382581" w:rsidRDefault="00C62964"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143955</wp:posOffset>
            </wp:positionV>
            <wp:extent cx="4912995" cy="1664335"/>
            <wp:effectExtent l="0" t="0" r="190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navn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81" w:rsidRDefault="00382581"/>
    <w:p w:rsidR="00382581" w:rsidRDefault="00C62964">
      <w:pPr>
        <w:rPr>
          <w:b/>
          <w:sz w:val="24"/>
          <w:szCs w:val="24"/>
        </w:rPr>
      </w:pPr>
      <w:r>
        <w:br/>
      </w:r>
      <w:r>
        <w:br/>
      </w:r>
      <w:r>
        <w:br/>
      </w:r>
      <w:r>
        <w:rPr>
          <w:b/>
          <w:sz w:val="24"/>
          <w:szCs w:val="24"/>
        </w:rPr>
        <w:t xml:space="preserve"> </w:t>
      </w:r>
    </w:p>
    <w:p w:rsidR="00382581" w:rsidRDefault="00382581">
      <w:pPr>
        <w:rPr>
          <w:b/>
          <w:sz w:val="24"/>
          <w:szCs w:val="24"/>
        </w:rPr>
      </w:pPr>
    </w:p>
    <w:p w:rsidR="00382581" w:rsidRDefault="00382581">
      <w:pPr>
        <w:rPr>
          <w:b/>
          <w:sz w:val="24"/>
          <w:szCs w:val="24"/>
        </w:rPr>
      </w:pPr>
    </w:p>
    <w:p w:rsidR="00382581" w:rsidRDefault="00382581">
      <w:pPr>
        <w:rPr>
          <w:b/>
          <w:sz w:val="24"/>
          <w:szCs w:val="24"/>
        </w:rPr>
      </w:pPr>
    </w:p>
    <w:p w:rsidR="00382581" w:rsidRDefault="00382581">
      <w:pPr>
        <w:rPr>
          <w:b/>
          <w:sz w:val="24"/>
          <w:szCs w:val="24"/>
        </w:rPr>
      </w:pPr>
    </w:p>
    <w:p w:rsidR="00382581" w:rsidRDefault="00382581">
      <w:pPr>
        <w:rPr>
          <w:b/>
          <w:sz w:val="24"/>
          <w:szCs w:val="24"/>
        </w:rPr>
      </w:pPr>
    </w:p>
    <w:p w:rsidR="00382581" w:rsidRDefault="00382581">
      <w:pPr>
        <w:rPr>
          <w:b/>
          <w:sz w:val="24"/>
          <w:szCs w:val="24"/>
        </w:rPr>
      </w:pPr>
    </w:p>
    <w:p w:rsidR="00382581" w:rsidRDefault="00C62964">
      <w:pPr>
        <w:rPr>
          <w:sz w:val="18"/>
          <w:szCs w:val="18"/>
        </w:rPr>
      </w:pPr>
      <w:r>
        <w:rPr>
          <w:sz w:val="18"/>
          <w:szCs w:val="18"/>
        </w:rPr>
        <w:t xml:space="preserve">Note vedr. </w:t>
      </w:r>
      <w:r>
        <w:rPr>
          <w:i/>
          <w:sz w:val="18"/>
          <w:szCs w:val="18"/>
        </w:rPr>
        <w:t>SLKS Klassifikationsnummer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 Jf. </w:t>
      </w:r>
      <w:r>
        <w:rPr>
          <w:i/>
          <w:sz w:val="18"/>
          <w:szCs w:val="18"/>
        </w:rPr>
        <w:t>SLKS Standarder</w:t>
      </w:r>
      <w:r>
        <w:rPr>
          <w:sz w:val="18"/>
          <w:szCs w:val="18"/>
        </w:rPr>
        <w:t xml:space="preserve"> (bilag til IKT aftalen)</w:t>
      </w:r>
    </w:p>
    <w:p w:rsidR="00382581" w:rsidRDefault="00C62964">
      <w:pPr>
        <w:rPr>
          <w:sz w:val="18"/>
          <w:szCs w:val="18"/>
        </w:rPr>
      </w:pPr>
      <w:r>
        <w:rPr>
          <w:sz w:val="18"/>
          <w:szCs w:val="18"/>
        </w:rPr>
        <w:t xml:space="preserve">Note vedr. </w:t>
      </w:r>
      <w:r>
        <w:rPr>
          <w:i/>
          <w:sz w:val="18"/>
          <w:szCs w:val="18"/>
        </w:rPr>
        <w:t>Underkomponent, navn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>Udelades på anlæg/hovedkonstruktioner</w:t>
      </w:r>
    </w:p>
    <w:p w:rsidR="00382581" w:rsidRDefault="00382581">
      <w:pPr>
        <w:rPr>
          <w:sz w:val="18"/>
          <w:szCs w:val="18"/>
        </w:rPr>
      </w:pPr>
    </w:p>
    <w:p w:rsidR="00382581" w:rsidRDefault="00382581">
      <w:pPr>
        <w:rPr>
          <w:sz w:val="18"/>
          <w:szCs w:val="18"/>
        </w:rPr>
      </w:pPr>
    </w:p>
    <w:p w:rsidR="00382581" w:rsidRDefault="00382581">
      <w:pPr>
        <w:rPr>
          <w:sz w:val="18"/>
          <w:szCs w:val="18"/>
        </w:rPr>
      </w:pPr>
    </w:p>
    <w:p w:rsidR="00382581" w:rsidRDefault="00382581">
      <w:pPr>
        <w:rPr>
          <w:sz w:val="18"/>
          <w:szCs w:val="18"/>
        </w:rPr>
      </w:pPr>
    </w:p>
    <w:p w:rsidR="00382581" w:rsidRDefault="00C62964">
      <w:pPr>
        <w:tabs>
          <w:tab w:val="clear" w:pos="284"/>
        </w:tabs>
        <w:spacing w:line="240" w:lineRule="auto"/>
        <w:rPr>
          <w:rFonts w:ascii="Cambria" w:hAnsi="Cambria"/>
          <w:b/>
          <w:sz w:val="32"/>
        </w:rPr>
      </w:pPr>
      <w:r>
        <w:br w:type="page"/>
      </w:r>
    </w:p>
    <w:p w:rsidR="00382581" w:rsidRDefault="00C62964">
      <w:pPr>
        <w:pStyle w:val="Overskrift1"/>
      </w:pPr>
      <w:r>
        <w:lastRenderedPageBreak/>
        <w:t>Appendiks</w:t>
      </w:r>
      <w:r>
        <w:br/>
        <w:t>Checkliste ved aflevering af D&amp;V materiale</w:t>
      </w:r>
      <w:bookmarkEnd w:id="4"/>
    </w:p>
    <w:p w:rsidR="00382581" w:rsidRDefault="00382581"/>
    <w:p w:rsidR="00382581" w:rsidRDefault="00C62964">
      <w:r>
        <w:t>IKT-koordinator udfører egenkontrol af D&amp;V materiale, herunder filnavngivning og mappestruktur, inden aflev</w:t>
      </w:r>
      <w:r>
        <w:t>e</w:t>
      </w:r>
      <w:r>
        <w:t xml:space="preserve">ring. </w:t>
      </w:r>
    </w:p>
    <w:p w:rsidR="00382581" w:rsidRDefault="00C62964">
      <w:r>
        <w:t>Ved aflevering skal følgende kontrolleres.</w:t>
      </w:r>
    </w:p>
    <w:p w:rsidR="00382581" w:rsidRDefault="00C62964">
      <w:r>
        <w:t>Denne checkliste afleveres i udfyldt stand på Byggeweb sammen med as-built materialet.</w:t>
      </w:r>
    </w:p>
    <w:p w:rsidR="00382581" w:rsidRDefault="003825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382581">
        <w:tc>
          <w:tcPr>
            <w:tcW w:w="675" w:type="dxa"/>
          </w:tcPr>
          <w:p w:rsidR="00382581" w:rsidRDefault="00C62964">
            <w:pPr>
              <w:jc w:val="center"/>
            </w:pPr>
            <w:r>
              <w:t>Sæt kryds</w:t>
            </w:r>
          </w:p>
          <w:p w:rsidR="00382581" w:rsidRDefault="00C62964">
            <w:pPr>
              <w:jc w:val="center"/>
            </w:pPr>
            <w:r>
              <w:t>(X)</w:t>
            </w:r>
          </w:p>
        </w:tc>
        <w:tc>
          <w:tcPr>
            <w:tcW w:w="8364" w:type="dxa"/>
            <w:vAlign w:val="center"/>
          </w:tcPr>
          <w:p w:rsidR="00382581" w:rsidRDefault="00C62964">
            <w:pPr>
              <w:pStyle w:val="Overskrift2"/>
            </w:pPr>
            <w:bookmarkStart w:id="5" w:name="_Toc422471497"/>
            <w:r>
              <w:t>Checkpunkter</w:t>
            </w:r>
            <w:bookmarkEnd w:id="5"/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 xml:space="preserve">I SLKS </w:t>
            </w:r>
            <w:proofErr w:type="spellStart"/>
            <w:r>
              <w:t>Excelskema</w:t>
            </w:r>
            <w:proofErr w:type="spellEnd"/>
            <w:r>
              <w:t>: Påkrævet felter er udfyldt</w:t>
            </w: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 xml:space="preserve">I SLKS </w:t>
            </w:r>
            <w:proofErr w:type="spellStart"/>
            <w:r>
              <w:t>Excelskema</w:t>
            </w:r>
            <w:proofErr w:type="spellEnd"/>
            <w:r>
              <w:t>: Der er forståelig sammenhæng mellem bygningsdele og vedligeholdsaktiviteter</w:t>
            </w: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>Alle dokumenter er afleveret i korrekt mappe svarende til entreprise</w:t>
            </w: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>Krav til filnavngivning er overholdt.</w:t>
            </w: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>Viruskontrol er foretaget på alle filer, som afleveres.</w:t>
            </w: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  <w:tr w:rsidR="00382581">
        <w:trPr>
          <w:trHeight w:val="340"/>
        </w:trPr>
        <w:tc>
          <w:tcPr>
            <w:tcW w:w="675" w:type="dxa"/>
          </w:tcPr>
          <w:p w:rsidR="00382581" w:rsidRDefault="00382581">
            <w:pPr>
              <w:jc w:val="center"/>
            </w:pPr>
          </w:p>
        </w:tc>
        <w:tc>
          <w:tcPr>
            <w:tcW w:w="8364" w:type="dxa"/>
          </w:tcPr>
          <w:p w:rsidR="00382581" w:rsidRDefault="00382581"/>
        </w:tc>
      </w:tr>
    </w:tbl>
    <w:p w:rsidR="00382581" w:rsidRDefault="00C62964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382581">
        <w:trPr>
          <w:trHeight w:val="340"/>
        </w:trPr>
        <w:tc>
          <w:tcPr>
            <w:tcW w:w="4503" w:type="dxa"/>
          </w:tcPr>
          <w:p w:rsidR="00382581" w:rsidRDefault="00C62964">
            <w:pPr>
              <w:jc w:val="center"/>
            </w:pPr>
            <w:r>
              <w:t>Dato</w:t>
            </w:r>
          </w:p>
        </w:tc>
        <w:tc>
          <w:tcPr>
            <w:tcW w:w="4536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  <w:jc w:val="center"/>
            </w:pPr>
            <w:r>
              <w:t>Udfyldt af</w:t>
            </w:r>
          </w:p>
        </w:tc>
      </w:tr>
      <w:tr w:rsidR="00382581">
        <w:trPr>
          <w:trHeight w:val="340"/>
        </w:trPr>
        <w:tc>
          <w:tcPr>
            <w:tcW w:w="4503" w:type="dxa"/>
          </w:tcPr>
          <w:p w:rsidR="00382581" w:rsidRDefault="00382581">
            <w:pPr>
              <w:jc w:val="center"/>
            </w:pPr>
          </w:p>
          <w:p w:rsidR="00382581" w:rsidRDefault="00382581">
            <w:pPr>
              <w:jc w:val="center"/>
            </w:pPr>
          </w:p>
        </w:tc>
        <w:tc>
          <w:tcPr>
            <w:tcW w:w="4536" w:type="dxa"/>
          </w:tcPr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 xml:space="preserve">Navn: </w:t>
            </w:r>
            <w:r>
              <w:br/>
            </w:r>
          </w:p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proofErr w:type="spellStart"/>
            <w:r>
              <w:t>Email</w:t>
            </w:r>
            <w:proofErr w:type="spellEnd"/>
            <w:r>
              <w:t>:</w:t>
            </w:r>
            <w:r>
              <w:br/>
            </w:r>
          </w:p>
          <w:p w:rsidR="00382581" w:rsidRDefault="00C62964">
            <w:pPr>
              <w:pStyle w:val="Bullet-Bolle"/>
              <w:numPr>
                <w:ilvl w:val="0"/>
                <w:numId w:val="0"/>
              </w:numPr>
            </w:pPr>
            <w:r>
              <w:t>Telefon:</w:t>
            </w:r>
          </w:p>
          <w:p w:rsidR="00382581" w:rsidRDefault="00382581">
            <w:pPr>
              <w:pStyle w:val="Bullet-Bolle"/>
              <w:numPr>
                <w:ilvl w:val="0"/>
                <w:numId w:val="0"/>
              </w:numPr>
            </w:pPr>
          </w:p>
        </w:tc>
      </w:tr>
    </w:tbl>
    <w:p w:rsidR="00382581" w:rsidRDefault="00382581">
      <w:pPr>
        <w:pStyle w:val="Bullet-Bolle"/>
        <w:numPr>
          <w:ilvl w:val="0"/>
          <w:numId w:val="0"/>
        </w:numPr>
        <w:ind w:left="783"/>
      </w:pPr>
    </w:p>
    <w:p w:rsidR="00382581" w:rsidRDefault="00382581"/>
    <w:sectPr w:rsidR="00382581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1" w:right="1559" w:bottom="851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2B534C" w15:done="0"/>
  <w15:commentEx w15:paraId="68B62163" w15:done="0"/>
  <w15:commentEx w15:paraId="3F4144D2" w15:done="0"/>
  <w15:commentEx w15:paraId="65C6545D" w15:done="0"/>
  <w15:commentEx w15:paraId="0CB405B2" w15:done="0"/>
  <w15:commentEx w15:paraId="21F286DF" w15:done="0"/>
  <w15:commentEx w15:paraId="48125823" w15:done="0"/>
  <w15:commentEx w15:paraId="4ED86418" w15:done="0"/>
  <w15:commentEx w15:paraId="295DB839" w15:done="0"/>
  <w15:commentEx w15:paraId="4EBC89C2" w15:done="0"/>
  <w15:commentEx w15:paraId="445F1F77" w15:done="0"/>
  <w15:commentEx w15:paraId="0C8FAB37" w15:done="0"/>
  <w15:commentEx w15:paraId="4CD02F47" w15:done="0"/>
  <w15:commentEx w15:paraId="005E7C78" w15:done="0"/>
  <w15:commentEx w15:paraId="5A6D3668" w15:done="0"/>
  <w15:commentEx w15:paraId="0951305E" w15:done="0"/>
  <w15:commentEx w15:paraId="295FD256" w15:done="0"/>
  <w15:commentEx w15:paraId="5C7443E1" w15:done="0"/>
  <w15:commentEx w15:paraId="4880EEFD" w15:done="0"/>
  <w15:commentEx w15:paraId="43250C8B" w15:done="0"/>
  <w15:commentEx w15:paraId="2383EF7C" w15:done="0"/>
  <w15:commentEx w15:paraId="39AAA27D" w15:done="0"/>
  <w15:commentEx w15:paraId="67E0D03E" w15:done="0"/>
  <w15:commentEx w15:paraId="57801561" w15:done="0"/>
  <w15:commentEx w15:paraId="4041DD6C" w15:done="0"/>
  <w15:commentEx w15:paraId="408AED35" w15:done="0"/>
  <w15:commentEx w15:paraId="081E8F1F" w15:done="0"/>
  <w15:commentEx w15:paraId="0167DC56" w15:done="0"/>
  <w15:commentEx w15:paraId="7FA0530B" w15:done="0"/>
  <w15:commentEx w15:paraId="685411BD" w15:done="0"/>
  <w15:commentEx w15:paraId="0B5217A6" w15:done="0"/>
  <w15:commentEx w15:paraId="75E660F4" w15:done="0"/>
  <w15:commentEx w15:paraId="3B2915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81" w:rsidRDefault="00C62964">
      <w:r>
        <w:separator/>
      </w:r>
    </w:p>
    <w:p w:rsidR="00382581" w:rsidRDefault="00382581"/>
  </w:endnote>
  <w:endnote w:type="continuationSeparator" w:id="0">
    <w:p w:rsidR="00382581" w:rsidRDefault="00C62964">
      <w:r>
        <w:continuationSeparator/>
      </w:r>
    </w:p>
    <w:p w:rsidR="00382581" w:rsidRDefault="00382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81" w:rsidRDefault="00C629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723DF">
      <w:rPr>
        <w:rStyle w:val="Sidetal"/>
        <w:noProof/>
      </w:rPr>
      <w:t>6</w:t>
    </w:r>
    <w:r>
      <w:rPr>
        <w:rStyle w:val="Sidetal"/>
      </w:rPr>
      <w:fldChar w:fldCharType="end"/>
    </w:r>
  </w:p>
  <w:p w:rsidR="00382581" w:rsidRDefault="00382581">
    <w:pPr>
      <w:pStyle w:val="Sidefod"/>
      <w:ind w:right="360"/>
    </w:pPr>
  </w:p>
  <w:p w:rsidR="00382581" w:rsidRDefault="003825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81" w:rsidRDefault="00C629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723DF">
      <w:rPr>
        <w:rStyle w:val="Sidetal"/>
        <w:noProof/>
      </w:rPr>
      <w:t>6</w:t>
    </w:r>
    <w:r>
      <w:rPr>
        <w:rStyle w:val="Sidetal"/>
      </w:rPr>
      <w:fldChar w:fldCharType="end"/>
    </w:r>
  </w:p>
  <w:p w:rsidR="00382581" w:rsidRDefault="00382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81" w:rsidRDefault="00C62964">
      <w:r>
        <w:separator/>
      </w:r>
    </w:p>
    <w:p w:rsidR="00382581" w:rsidRDefault="00382581"/>
  </w:footnote>
  <w:footnote w:type="continuationSeparator" w:id="0">
    <w:p w:rsidR="00382581" w:rsidRDefault="00C62964">
      <w:r>
        <w:continuationSeparator/>
      </w:r>
    </w:p>
    <w:p w:rsidR="00382581" w:rsidRDefault="003825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81" w:rsidRDefault="00C62964"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4757420</wp:posOffset>
          </wp:positionH>
          <wp:positionV relativeFrom="page">
            <wp:posOffset>438150</wp:posOffset>
          </wp:positionV>
          <wp:extent cx="1959610" cy="660400"/>
          <wp:effectExtent l="0" t="0" r="2540" b="6350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961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2581" w:rsidRDefault="00382581"/>
  <w:p w:rsidR="00382581" w:rsidRDefault="003825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81" w:rsidRDefault="00C62964"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5036820</wp:posOffset>
          </wp:positionH>
          <wp:positionV relativeFrom="page">
            <wp:posOffset>450850</wp:posOffset>
          </wp:positionV>
          <wp:extent cx="1959610" cy="660400"/>
          <wp:effectExtent l="0" t="0" r="254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961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2581" w:rsidRDefault="00382581"/>
  <w:p w:rsidR="00382581" w:rsidRDefault="00382581"/>
  <w:p w:rsidR="00382581" w:rsidRDefault="00382581"/>
  <w:tbl>
    <w:tblPr>
      <w:tblW w:w="6946" w:type="dxa"/>
      <w:tblInd w:w="108" w:type="dxa"/>
      <w:tblLayout w:type="fixed"/>
      <w:tblLook w:val="01E0" w:firstRow="1" w:lastRow="1" w:firstColumn="1" w:lastColumn="1" w:noHBand="0" w:noVBand="0"/>
    </w:tblPr>
    <w:tblGrid>
      <w:gridCol w:w="4678"/>
      <w:gridCol w:w="2268"/>
    </w:tblGrid>
    <w:tr w:rsidR="00382581">
      <w:trPr>
        <w:trHeight w:val="284"/>
      </w:trPr>
      <w:tc>
        <w:tcPr>
          <w:tcW w:w="4678" w:type="dxa"/>
          <w:vAlign w:val="bottom"/>
        </w:tcPr>
        <w:p w:rsidR="00382581" w:rsidRDefault="00382581">
          <w:pPr>
            <w:pStyle w:val="Sidehoved3"/>
            <w:rPr>
              <w:i w:val="0"/>
              <w:sz w:val="18"/>
              <w:szCs w:val="18"/>
            </w:rPr>
          </w:pPr>
        </w:p>
      </w:tc>
      <w:tc>
        <w:tcPr>
          <w:tcW w:w="2268" w:type="dxa"/>
          <w:vAlign w:val="bottom"/>
        </w:tcPr>
        <w:p w:rsidR="00382581" w:rsidRDefault="00382581">
          <w:pPr>
            <w:pStyle w:val="Sidehoved3"/>
            <w:rPr>
              <w:b/>
              <w:i w:val="0"/>
              <w:sz w:val="18"/>
              <w:szCs w:val="18"/>
            </w:rPr>
          </w:pPr>
        </w:p>
      </w:tc>
    </w:tr>
    <w:tr w:rsidR="00382581">
      <w:trPr>
        <w:trHeight w:val="254"/>
      </w:trPr>
      <w:tc>
        <w:tcPr>
          <w:tcW w:w="4678" w:type="dxa"/>
          <w:vAlign w:val="bottom"/>
        </w:tcPr>
        <w:p w:rsidR="00382581" w:rsidRDefault="00382581">
          <w:pPr>
            <w:pStyle w:val="Sidehoved3"/>
            <w:rPr>
              <w:i w:val="0"/>
              <w:sz w:val="18"/>
              <w:szCs w:val="18"/>
            </w:rPr>
          </w:pPr>
        </w:p>
      </w:tc>
      <w:tc>
        <w:tcPr>
          <w:tcW w:w="2268" w:type="dxa"/>
          <w:vAlign w:val="bottom"/>
        </w:tcPr>
        <w:p w:rsidR="00382581" w:rsidRDefault="00382581">
          <w:pPr>
            <w:pStyle w:val="Sidehoved3"/>
            <w:rPr>
              <w:i w:val="0"/>
              <w:sz w:val="18"/>
              <w:szCs w:val="18"/>
            </w:rPr>
          </w:pPr>
        </w:p>
      </w:tc>
    </w:tr>
    <w:tr w:rsidR="00382581">
      <w:trPr>
        <w:trHeight w:val="254"/>
      </w:trPr>
      <w:tc>
        <w:tcPr>
          <w:tcW w:w="4678" w:type="dxa"/>
          <w:vAlign w:val="bottom"/>
        </w:tcPr>
        <w:p w:rsidR="00382581" w:rsidRPr="006B3CB9" w:rsidRDefault="00C62964" w:rsidP="00BE2B9F">
          <w:pPr>
            <w:pStyle w:val="Sidehoved3"/>
            <w:ind w:right="-213"/>
            <w:rPr>
              <w:b/>
              <w:i w:val="0"/>
              <w:sz w:val="18"/>
              <w:szCs w:val="18"/>
            </w:rPr>
          </w:pPr>
          <w:r w:rsidRPr="006B3CB9">
            <w:rPr>
              <w:b/>
              <w:i w:val="0"/>
              <w:sz w:val="18"/>
              <w:szCs w:val="18"/>
            </w:rPr>
            <w:t xml:space="preserve">Bilag </w:t>
          </w:r>
          <w:r w:rsidR="00BE2B9F">
            <w:rPr>
              <w:b/>
              <w:i w:val="0"/>
              <w:sz w:val="18"/>
              <w:szCs w:val="18"/>
            </w:rPr>
            <w:t>5.3</w:t>
          </w:r>
        </w:p>
      </w:tc>
      <w:tc>
        <w:tcPr>
          <w:tcW w:w="2268" w:type="dxa"/>
          <w:vAlign w:val="bottom"/>
        </w:tcPr>
        <w:p w:rsidR="00382581" w:rsidRDefault="00382581">
          <w:pPr>
            <w:pStyle w:val="Sidehoved3"/>
            <w:rPr>
              <w:i w:val="0"/>
              <w:sz w:val="18"/>
              <w:szCs w:val="18"/>
            </w:rPr>
          </w:pPr>
        </w:p>
      </w:tc>
    </w:tr>
  </w:tbl>
  <w:p w:rsidR="00382581" w:rsidRDefault="0038258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605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8EC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186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1E5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B07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A7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2E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86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42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EF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83191"/>
    <w:multiLevelType w:val="hybridMultilevel"/>
    <w:tmpl w:val="6D7C95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61CE"/>
    <w:multiLevelType w:val="hybridMultilevel"/>
    <w:tmpl w:val="B57ABA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C32EB"/>
    <w:multiLevelType w:val="hybridMultilevel"/>
    <w:tmpl w:val="1D6612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86081"/>
    <w:multiLevelType w:val="hybridMultilevel"/>
    <w:tmpl w:val="7A3CB5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4D5D9F"/>
    <w:multiLevelType w:val="hybridMultilevel"/>
    <w:tmpl w:val="BC466F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8374F"/>
    <w:multiLevelType w:val="hybridMultilevel"/>
    <w:tmpl w:val="C204BA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72670"/>
    <w:multiLevelType w:val="hybridMultilevel"/>
    <w:tmpl w:val="401E2842"/>
    <w:lvl w:ilvl="0" w:tplc="AE709130">
      <w:start w:val="1"/>
      <w:numFmt w:val="bullet"/>
      <w:pStyle w:val="Bullet-Bolle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9515A2C"/>
    <w:multiLevelType w:val="hybridMultilevel"/>
    <w:tmpl w:val="240A1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94AA9"/>
    <w:multiLevelType w:val="hybridMultilevel"/>
    <w:tmpl w:val="8DEAB2C6"/>
    <w:lvl w:ilvl="0" w:tplc="07603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8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Steen Nerenst - NTI CADcenter A/S">
    <w15:presenceInfo w15:providerId="AD" w15:userId="S-1-5-21-2572889673-2134326680-3297002460-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81"/>
    <w:rsid w:val="003723DF"/>
    <w:rsid w:val="00382581"/>
    <w:rsid w:val="006B3CB9"/>
    <w:rsid w:val="0076230E"/>
    <w:rsid w:val="009931AF"/>
    <w:rsid w:val="00BE2B9F"/>
    <w:rsid w:val="00C62964"/>
    <w:rsid w:val="00E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spacing w:line="260" w:lineRule="exact"/>
    </w:pPr>
    <w:rPr>
      <w:rFonts w:ascii="Calibri" w:hAnsi="Calibri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ascii="Cambria" w:hAnsi="Cambria"/>
      <w:b/>
      <w:sz w:val="32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line="240" w:lineRule="auto"/>
      <w:outlineLvl w:val="1"/>
    </w:pPr>
    <w:rPr>
      <w:rFonts w:ascii="Cambria" w:hAnsi="Cambria"/>
      <w:b/>
      <w:sz w:val="28"/>
    </w:rPr>
  </w:style>
  <w:style w:type="paragraph" w:styleId="Overskrift3">
    <w:name w:val="heading 3"/>
    <w:basedOn w:val="Normal"/>
    <w:next w:val="Normal"/>
    <w:qFormat/>
    <w:pPr>
      <w:spacing w:line="240" w:lineRule="auto"/>
      <w:outlineLvl w:val="2"/>
    </w:pPr>
    <w:rPr>
      <w:rFonts w:ascii="Cambria" w:hAnsi="Cambria"/>
      <w:b/>
      <w:sz w:val="24"/>
    </w:rPr>
  </w:style>
  <w:style w:type="paragraph" w:styleId="Overskrift4">
    <w:name w:val="heading 4"/>
    <w:basedOn w:val="Normal"/>
    <w:next w:val="Normal"/>
    <w:link w:val="Overskrift4Tegn"/>
    <w:unhideWhenUsed/>
    <w:qFormat/>
    <w:pPr>
      <w:keepNext/>
      <w:keepLines/>
      <w:spacing w:before="40" w:line="240" w:lineRule="auto"/>
      <w:outlineLvl w:val="3"/>
    </w:pPr>
    <w:rPr>
      <w:rFonts w:ascii="Cambria" w:eastAsiaTheme="majorEastAsia" w:hAnsi="Cambr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mbria" w:hAnsi="Cambria"/>
      <w:b/>
      <w:sz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rPr>
      <w:rFonts w:ascii="Cambria" w:eastAsiaTheme="majorEastAsia" w:hAnsi="Cambria" w:cstheme="majorBidi"/>
      <w:b/>
      <w:iCs/>
      <w:lang w:eastAsia="en-US"/>
    </w:rPr>
  </w:style>
  <w:style w:type="paragraph" w:customStyle="1" w:styleId="Eksempel">
    <w:name w:val="Eksempel"/>
    <w:basedOn w:val="Normal"/>
    <w:link w:val="EksempelChar"/>
    <w:rPr>
      <w:i/>
      <w:kern w:val="28"/>
      <w:lang w:eastAsia="da-DK"/>
    </w:rPr>
  </w:style>
  <w:style w:type="character" w:customStyle="1" w:styleId="EksempelChar">
    <w:name w:val="Eksempel Char"/>
    <w:link w:val="Eksempel"/>
    <w:rPr>
      <w:rFonts w:ascii="Arial" w:hAnsi="Arial"/>
      <w:i/>
      <w:kern w:val="28"/>
      <w:lang w:val="da-DK" w:eastAsia="da-DK" w:bidi="ar-SA"/>
    </w:rPr>
  </w:style>
  <w:style w:type="paragraph" w:styleId="Brdtekst">
    <w:name w:val="Body Text"/>
    <w:basedOn w:val="Normal"/>
    <w:link w:val="BrdtekstTegn"/>
    <w:pPr>
      <w:tabs>
        <w:tab w:val="clear" w:pos="284"/>
        <w:tab w:val="left" w:pos="849"/>
        <w:tab w:val="left" w:pos="1134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  <w:tab w:val="left" w:pos="9352"/>
      </w:tabs>
      <w:spacing w:line="240" w:lineRule="auto"/>
    </w:pPr>
    <w:rPr>
      <w:rFonts w:ascii="Times New Roman" w:hAnsi="Times New Roman"/>
      <w:sz w:val="22"/>
      <w:lang w:eastAsia="da-DK"/>
    </w:rPr>
  </w:style>
  <w:style w:type="character" w:customStyle="1" w:styleId="BrdtekstTegn">
    <w:name w:val="Brødtekst Tegn"/>
    <w:basedOn w:val="Standardskrifttypeiafsnit"/>
    <w:link w:val="Brdtekst"/>
    <w:rPr>
      <w:sz w:val="22"/>
    </w:rPr>
  </w:style>
  <w:style w:type="paragraph" w:styleId="Slutnotetekst">
    <w:name w:val="endnote text"/>
    <w:basedOn w:val="Normal"/>
    <w:semiHidden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jledning">
    <w:name w:val="Vejledning"/>
    <w:basedOn w:val="Normal"/>
    <w:next w:val="Normal"/>
    <w:link w:val="VejledningChar"/>
    <w:rPr>
      <w:i/>
      <w:color w:val="FF0000"/>
    </w:rPr>
  </w:style>
  <w:style w:type="character" w:customStyle="1" w:styleId="VejledningChar">
    <w:name w:val="Vejledning Char"/>
    <w:link w:val="Vejledning"/>
    <w:rPr>
      <w:rFonts w:ascii="Arial" w:hAnsi="Arial"/>
      <w:i/>
      <w:color w:val="FF0000"/>
      <w:lang w:val="da-DK" w:eastAsia="en-US" w:bidi="ar-SA"/>
    </w:rPr>
  </w:style>
  <w:style w:type="paragraph" w:styleId="Sidehoved">
    <w:name w:val="header"/>
    <w:basedOn w:val="Normal"/>
    <w:pPr>
      <w:tabs>
        <w:tab w:val="clear" w:pos="284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284"/>
        <w:tab w:val="center" w:pos="4819"/>
        <w:tab w:val="right" w:pos="9638"/>
      </w:tabs>
    </w:pPr>
  </w:style>
  <w:style w:type="paragraph" w:customStyle="1" w:styleId="Sidehoved3">
    <w:name w:val="Sidehoved 3"/>
    <w:basedOn w:val="Normal"/>
    <w:pPr>
      <w:tabs>
        <w:tab w:val="clear" w:pos="284"/>
      </w:tabs>
    </w:pPr>
    <w:rPr>
      <w:i/>
      <w:noProof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pPr>
      <w:tabs>
        <w:tab w:val="clear" w:pos="284"/>
      </w:tabs>
      <w:autoSpaceDE w:val="0"/>
      <w:autoSpaceDN w:val="0"/>
      <w:adjustRightInd w:val="0"/>
      <w:spacing w:line="181" w:lineRule="atLeast"/>
    </w:pPr>
    <w:rPr>
      <w:rFonts w:ascii="Frutiger 55 Roman" w:hAnsi="Frutiger 55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Pr>
      <w:rFonts w:ascii="Verdana" w:hAnsi="Verdana"/>
      <w:sz w:val="18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Pr>
      <w:rFonts w:ascii="Verdana" w:hAnsi="Verdana"/>
      <w:sz w:val="18"/>
      <w:lang w:eastAsia="en-US"/>
    </w:rPr>
  </w:style>
  <w:style w:type="paragraph" w:customStyle="1" w:styleId="Bullet-Bolle">
    <w:name w:val="Bullet - Bolle"/>
    <w:basedOn w:val="Listeafsnit"/>
    <w:link w:val="Bullet-BolleTegn"/>
    <w:qFormat/>
    <w:pPr>
      <w:numPr>
        <w:numId w:val="5"/>
      </w:numPr>
      <w:tabs>
        <w:tab w:val="clear" w:pos="284"/>
        <w:tab w:val="left" w:pos="425"/>
      </w:tabs>
    </w:pPr>
  </w:style>
  <w:style w:type="character" w:customStyle="1" w:styleId="Bullet-BolleTegn">
    <w:name w:val="Bullet - Bolle Tegn"/>
    <w:basedOn w:val="ListeafsnitTegn"/>
    <w:link w:val="Bullet-Bolle"/>
    <w:rPr>
      <w:rFonts w:ascii="Calibri" w:hAnsi="Calibri"/>
      <w:sz w:val="18"/>
      <w:lang w:eastAsia="en-US"/>
    </w:rPr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link w:val="KommentartekstTegn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Pr>
      <w:b/>
      <w:bCs/>
    </w:rPr>
  </w:style>
  <w:style w:type="character" w:customStyle="1" w:styleId="KommentaremneTegn">
    <w:name w:val="Kommentaremne Tegn"/>
    <w:basedOn w:val="KommentartekstTegn"/>
    <w:link w:val="Kommentaremne"/>
    <w:rPr>
      <w:rFonts w:ascii="Verdana" w:hAnsi="Verdana"/>
      <w:b/>
      <w:bCs/>
      <w:lang w:eastAsia="en-US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paragraph" w:styleId="Ingenafstand">
    <w:name w:val="No Spacing"/>
    <w:link w:val="IngenafstandTegn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Pr>
      <w:rFonts w:asciiTheme="minorHAnsi" w:eastAsiaTheme="minorEastAsia" w:hAnsiTheme="minorHAnsi" w:cstheme="minorBidi"/>
      <w:sz w:val="22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pPr>
      <w:keepLines/>
      <w:tabs>
        <w:tab w:val="clear" w:pos="28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pPr>
      <w:tabs>
        <w:tab w:val="clear" w:pos="284"/>
        <w:tab w:val="right" w:leader="dot" w:pos="8777"/>
      </w:tabs>
      <w:spacing w:after="100" w:line="240" w:lineRule="auto"/>
      <w:ind w:left="360" w:firstLine="66"/>
    </w:pPr>
  </w:style>
  <w:style w:type="paragraph" w:styleId="Indholdsfortegnelse1">
    <w:name w:val="toc 1"/>
    <w:basedOn w:val="Normal"/>
    <w:next w:val="Normal"/>
    <w:autoRedefine/>
    <w:uiPriority w:val="39"/>
    <w:pPr>
      <w:tabs>
        <w:tab w:val="clear" w:pos="284"/>
      </w:tabs>
      <w:spacing w:after="100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pPr>
      <w:tabs>
        <w:tab w:val="clear" w:pos="284"/>
      </w:tabs>
      <w:spacing w:after="100" w:line="240" w:lineRule="auto"/>
      <w:ind w:left="180"/>
    </w:pPr>
  </w:style>
  <w:style w:type="paragraph" w:customStyle="1" w:styleId="TypografiOverskrift3Fed">
    <w:name w:val="Typografi Overskrift 3 + Fed"/>
    <w:basedOn w:val="Overskrift3"/>
    <w:rPr>
      <w:bCs/>
    </w:rPr>
  </w:style>
  <w:style w:type="paragraph" w:styleId="Indholdsfortegnelse6">
    <w:name w:val="toc 6"/>
    <w:basedOn w:val="Normal"/>
    <w:next w:val="Normal"/>
    <w:autoRedefine/>
    <w:uiPriority w:val="39"/>
    <w:pPr>
      <w:tabs>
        <w:tab w:val="clear" w:pos="284"/>
      </w:tabs>
      <w:spacing w:after="100"/>
      <w:ind w:left="1000"/>
    </w:pPr>
  </w:style>
  <w:style w:type="paragraph" w:styleId="Indholdsfortegnelse4">
    <w:name w:val="toc 4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customStyle="1" w:styleId="DokTitel">
    <w:name w:val="DokTitel"/>
    <w:basedOn w:val="Normal"/>
    <w:next w:val="Normal"/>
    <w:pPr>
      <w:tabs>
        <w:tab w:val="clear" w:pos="284"/>
      </w:tabs>
      <w:spacing w:line="400" w:lineRule="exact"/>
    </w:pPr>
    <w:rPr>
      <w:rFonts w:ascii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spacing w:line="260" w:lineRule="exact"/>
    </w:pPr>
    <w:rPr>
      <w:rFonts w:ascii="Calibri" w:hAnsi="Calibri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ascii="Cambria" w:hAnsi="Cambria"/>
      <w:b/>
      <w:sz w:val="32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line="240" w:lineRule="auto"/>
      <w:outlineLvl w:val="1"/>
    </w:pPr>
    <w:rPr>
      <w:rFonts w:ascii="Cambria" w:hAnsi="Cambria"/>
      <w:b/>
      <w:sz w:val="28"/>
    </w:rPr>
  </w:style>
  <w:style w:type="paragraph" w:styleId="Overskrift3">
    <w:name w:val="heading 3"/>
    <w:basedOn w:val="Normal"/>
    <w:next w:val="Normal"/>
    <w:qFormat/>
    <w:pPr>
      <w:spacing w:line="240" w:lineRule="auto"/>
      <w:outlineLvl w:val="2"/>
    </w:pPr>
    <w:rPr>
      <w:rFonts w:ascii="Cambria" w:hAnsi="Cambria"/>
      <w:b/>
      <w:sz w:val="24"/>
    </w:rPr>
  </w:style>
  <w:style w:type="paragraph" w:styleId="Overskrift4">
    <w:name w:val="heading 4"/>
    <w:basedOn w:val="Normal"/>
    <w:next w:val="Normal"/>
    <w:link w:val="Overskrift4Tegn"/>
    <w:unhideWhenUsed/>
    <w:qFormat/>
    <w:pPr>
      <w:keepNext/>
      <w:keepLines/>
      <w:spacing w:before="40" w:line="240" w:lineRule="auto"/>
      <w:outlineLvl w:val="3"/>
    </w:pPr>
    <w:rPr>
      <w:rFonts w:ascii="Cambria" w:eastAsiaTheme="majorEastAsia" w:hAnsi="Cambr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mbria" w:hAnsi="Cambria"/>
      <w:b/>
      <w:sz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rPr>
      <w:rFonts w:ascii="Cambria" w:eastAsiaTheme="majorEastAsia" w:hAnsi="Cambria" w:cstheme="majorBidi"/>
      <w:b/>
      <w:iCs/>
      <w:lang w:eastAsia="en-US"/>
    </w:rPr>
  </w:style>
  <w:style w:type="paragraph" w:customStyle="1" w:styleId="Eksempel">
    <w:name w:val="Eksempel"/>
    <w:basedOn w:val="Normal"/>
    <w:link w:val="EksempelChar"/>
    <w:rPr>
      <w:i/>
      <w:kern w:val="28"/>
      <w:lang w:eastAsia="da-DK"/>
    </w:rPr>
  </w:style>
  <w:style w:type="character" w:customStyle="1" w:styleId="EksempelChar">
    <w:name w:val="Eksempel Char"/>
    <w:link w:val="Eksempel"/>
    <w:rPr>
      <w:rFonts w:ascii="Arial" w:hAnsi="Arial"/>
      <w:i/>
      <w:kern w:val="28"/>
      <w:lang w:val="da-DK" w:eastAsia="da-DK" w:bidi="ar-SA"/>
    </w:rPr>
  </w:style>
  <w:style w:type="paragraph" w:styleId="Brdtekst">
    <w:name w:val="Body Text"/>
    <w:basedOn w:val="Normal"/>
    <w:link w:val="BrdtekstTegn"/>
    <w:pPr>
      <w:tabs>
        <w:tab w:val="clear" w:pos="284"/>
        <w:tab w:val="left" w:pos="849"/>
        <w:tab w:val="left" w:pos="1134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  <w:tab w:val="left" w:pos="9352"/>
      </w:tabs>
      <w:spacing w:line="240" w:lineRule="auto"/>
    </w:pPr>
    <w:rPr>
      <w:rFonts w:ascii="Times New Roman" w:hAnsi="Times New Roman"/>
      <w:sz w:val="22"/>
      <w:lang w:eastAsia="da-DK"/>
    </w:rPr>
  </w:style>
  <w:style w:type="character" w:customStyle="1" w:styleId="BrdtekstTegn">
    <w:name w:val="Brødtekst Tegn"/>
    <w:basedOn w:val="Standardskrifttypeiafsnit"/>
    <w:link w:val="Brdtekst"/>
    <w:rPr>
      <w:sz w:val="22"/>
    </w:rPr>
  </w:style>
  <w:style w:type="paragraph" w:styleId="Slutnotetekst">
    <w:name w:val="endnote text"/>
    <w:basedOn w:val="Normal"/>
    <w:semiHidden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jledning">
    <w:name w:val="Vejledning"/>
    <w:basedOn w:val="Normal"/>
    <w:next w:val="Normal"/>
    <w:link w:val="VejledningChar"/>
    <w:rPr>
      <w:i/>
      <w:color w:val="FF0000"/>
    </w:rPr>
  </w:style>
  <w:style w:type="character" w:customStyle="1" w:styleId="VejledningChar">
    <w:name w:val="Vejledning Char"/>
    <w:link w:val="Vejledning"/>
    <w:rPr>
      <w:rFonts w:ascii="Arial" w:hAnsi="Arial"/>
      <w:i/>
      <w:color w:val="FF0000"/>
      <w:lang w:val="da-DK" w:eastAsia="en-US" w:bidi="ar-SA"/>
    </w:rPr>
  </w:style>
  <w:style w:type="paragraph" w:styleId="Sidehoved">
    <w:name w:val="header"/>
    <w:basedOn w:val="Normal"/>
    <w:pPr>
      <w:tabs>
        <w:tab w:val="clear" w:pos="284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284"/>
        <w:tab w:val="center" w:pos="4819"/>
        <w:tab w:val="right" w:pos="9638"/>
      </w:tabs>
    </w:pPr>
  </w:style>
  <w:style w:type="paragraph" w:customStyle="1" w:styleId="Sidehoved3">
    <w:name w:val="Sidehoved 3"/>
    <w:basedOn w:val="Normal"/>
    <w:pPr>
      <w:tabs>
        <w:tab w:val="clear" w:pos="284"/>
      </w:tabs>
    </w:pPr>
    <w:rPr>
      <w:i/>
      <w:noProof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pPr>
      <w:tabs>
        <w:tab w:val="clear" w:pos="284"/>
      </w:tabs>
      <w:autoSpaceDE w:val="0"/>
      <w:autoSpaceDN w:val="0"/>
      <w:adjustRightInd w:val="0"/>
      <w:spacing w:line="181" w:lineRule="atLeast"/>
    </w:pPr>
    <w:rPr>
      <w:rFonts w:ascii="Frutiger 55 Roman" w:hAnsi="Frutiger 55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Pr>
      <w:rFonts w:ascii="Verdana" w:hAnsi="Verdana"/>
      <w:sz w:val="18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Pr>
      <w:rFonts w:ascii="Verdana" w:hAnsi="Verdana"/>
      <w:sz w:val="18"/>
      <w:lang w:eastAsia="en-US"/>
    </w:rPr>
  </w:style>
  <w:style w:type="paragraph" w:customStyle="1" w:styleId="Bullet-Bolle">
    <w:name w:val="Bullet - Bolle"/>
    <w:basedOn w:val="Listeafsnit"/>
    <w:link w:val="Bullet-BolleTegn"/>
    <w:qFormat/>
    <w:pPr>
      <w:numPr>
        <w:numId w:val="5"/>
      </w:numPr>
      <w:tabs>
        <w:tab w:val="clear" w:pos="284"/>
        <w:tab w:val="left" w:pos="425"/>
      </w:tabs>
    </w:pPr>
  </w:style>
  <w:style w:type="character" w:customStyle="1" w:styleId="Bullet-BolleTegn">
    <w:name w:val="Bullet - Bolle Tegn"/>
    <w:basedOn w:val="ListeafsnitTegn"/>
    <w:link w:val="Bullet-Bolle"/>
    <w:rPr>
      <w:rFonts w:ascii="Calibri" w:hAnsi="Calibri"/>
      <w:sz w:val="18"/>
      <w:lang w:eastAsia="en-US"/>
    </w:rPr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link w:val="KommentartekstTegn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Pr>
      <w:b/>
      <w:bCs/>
    </w:rPr>
  </w:style>
  <w:style w:type="character" w:customStyle="1" w:styleId="KommentaremneTegn">
    <w:name w:val="Kommentaremne Tegn"/>
    <w:basedOn w:val="KommentartekstTegn"/>
    <w:link w:val="Kommentaremne"/>
    <w:rPr>
      <w:rFonts w:ascii="Verdana" w:hAnsi="Verdana"/>
      <w:b/>
      <w:bCs/>
      <w:lang w:eastAsia="en-US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paragraph" w:styleId="Ingenafstand">
    <w:name w:val="No Spacing"/>
    <w:link w:val="IngenafstandTegn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Pr>
      <w:rFonts w:asciiTheme="minorHAnsi" w:eastAsiaTheme="minorEastAsia" w:hAnsiTheme="minorHAnsi" w:cstheme="minorBidi"/>
      <w:sz w:val="22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pPr>
      <w:keepLines/>
      <w:tabs>
        <w:tab w:val="clear" w:pos="28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pPr>
      <w:tabs>
        <w:tab w:val="clear" w:pos="284"/>
        <w:tab w:val="right" w:leader="dot" w:pos="8777"/>
      </w:tabs>
      <w:spacing w:after="100" w:line="240" w:lineRule="auto"/>
      <w:ind w:left="360" w:firstLine="66"/>
    </w:pPr>
  </w:style>
  <w:style w:type="paragraph" w:styleId="Indholdsfortegnelse1">
    <w:name w:val="toc 1"/>
    <w:basedOn w:val="Normal"/>
    <w:next w:val="Normal"/>
    <w:autoRedefine/>
    <w:uiPriority w:val="39"/>
    <w:pPr>
      <w:tabs>
        <w:tab w:val="clear" w:pos="284"/>
      </w:tabs>
      <w:spacing w:after="100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pPr>
      <w:tabs>
        <w:tab w:val="clear" w:pos="284"/>
      </w:tabs>
      <w:spacing w:after="100" w:line="240" w:lineRule="auto"/>
      <w:ind w:left="180"/>
    </w:pPr>
  </w:style>
  <w:style w:type="paragraph" w:customStyle="1" w:styleId="TypografiOverskrift3Fed">
    <w:name w:val="Typografi Overskrift 3 + Fed"/>
    <w:basedOn w:val="Overskrift3"/>
    <w:rPr>
      <w:bCs/>
    </w:rPr>
  </w:style>
  <w:style w:type="paragraph" w:styleId="Indholdsfortegnelse6">
    <w:name w:val="toc 6"/>
    <w:basedOn w:val="Normal"/>
    <w:next w:val="Normal"/>
    <w:autoRedefine/>
    <w:uiPriority w:val="39"/>
    <w:pPr>
      <w:tabs>
        <w:tab w:val="clear" w:pos="284"/>
      </w:tabs>
      <w:spacing w:after="100"/>
      <w:ind w:left="1000"/>
    </w:pPr>
  </w:style>
  <w:style w:type="paragraph" w:styleId="Indholdsfortegnelse4">
    <w:name w:val="toc 4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pPr>
      <w:tabs>
        <w:tab w:val="clear" w:pos="284"/>
      </w:tabs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customStyle="1" w:styleId="DokTitel">
    <w:name w:val="DokTitel"/>
    <w:basedOn w:val="Normal"/>
    <w:next w:val="Normal"/>
    <w:pPr>
      <w:tabs>
        <w:tab w:val="clear" w:pos="284"/>
      </w:tabs>
      <w:spacing w:line="400" w:lineRule="exact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6C9A-AFCF-477B-831C-E31224EB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880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IKT-teknisk CAD-specifikation</vt:lpstr>
    </vt:vector>
  </TitlesOfParts>
  <Company>NTI CADcenter A/S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IKT-teknisk CAD-specifikation</dc:title>
  <dc:subject>Slotte &amp; Kulturejendomme</dc:subject>
  <dc:creator>Peter Steen Nerenst</dc:creator>
  <cp:lastModifiedBy>Bjarne Bach</cp:lastModifiedBy>
  <cp:revision>63</cp:revision>
  <cp:lastPrinted>2016-12-06T08:02:00Z</cp:lastPrinted>
  <dcterms:created xsi:type="dcterms:W3CDTF">2016-05-20T07:55:00Z</dcterms:created>
  <dcterms:modified xsi:type="dcterms:W3CDTF">2016-12-06T08:02:00Z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