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1E3" w:rsidRPr="00556033" w:rsidRDefault="001511E3" w:rsidP="002363CB">
      <w:pPr>
        <w:pStyle w:val="Titel"/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spacing w:after="0"/>
        <w:ind w:right="140"/>
        <w:jc w:val="center"/>
      </w:pPr>
      <w:bookmarkStart w:id="0" w:name="_GoBack"/>
      <w:bookmarkEnd w:id="0"/>
    </w:p>
    <w:p w:rsidR="005F66CB" w:rsidRPr="00556033" w:rsidRDefault="005F66CB" w:rsidP="002363CB">
      <w:pPr>
        <w:pStyle w:val="Titel"/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spacing w:after="0"/>
        <w:ind w:right="140"/>
        <w:jc w:val="center"/>
        <w:rPr>
          <w:i/>
          <w:highlight w:val="lightGray"/>
        </w:rPr>
      </w:pPr>
      <w:r w:rsidRPr="00556033">
        <w:t>Bekræftelse angående anden enheds formåen</w:t>
      </w:r>
    </w:p>
    <w:p w:rsidR="005F66CB" w:rsidRPr="00556033" w:rsidRDefault="003F13A7" w:rsidP="002363CB">
      <w:pPr>
        <w:pStyle w:val="Titel"/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spacing w:after="0"/>
        <w:ind w:right="140"/>
        <w:jc w:val="center"/>
        <w:rPr>
          <w:i/>
        </w:rPr>
      </w:pPr>
      <w:r>
        <w:t>(Underleverandør</w:t>
      </w:r>
      <w:r w:rsidR="005F66CB" w:rsidRPr="00556033">
        <w:t>erklæring)</w:t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</w:pPr>
    </w:p>
    <w:p w:rsidR="006C170D" w:rsidRPr="00556033" w:rsidRDefault="006C170D" w:rsidP="006C170D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jc w:val="center"/>
      </w:pPr>
      <w:r w:rsidRPr="00556033">
        <w:t>(Virksomheden, der afgiver støtteerklæring, skal udfylde de relevante dele af det fælles europæiske udbudsdokument</w:t>
      </w:r>
      <w:r w:rsidR="00096C7C" w:rsidRPr="00556033">
        <w:t xml:space="preserve">, jf. </w:t>
      </w:r>
      <w:r w:rsidR="00671113" w:rsidRPr="00556033">
        <w:t xml:space="preserve">Konkurrence- og Forbrugerstyrelsens </w:t>
      </w:r>
      <w:r w:rsidR="00096C7C" w:rsidRPr="00556033">
        <w:t>vejledning</w:t>
      </w:r>
      <w:r w:rsidR="00671113" w:rsidRPr="00556033">
        <w:t xml:space="preserve"> herom</w:t>
      </w:r>
      <w:r w:rsidR="00096C7C" w:rsidRPr="00556033">
        <w:t>)</w:t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  <w:r w:rsidRPr="00556033">
        <w:rPr>
          <w:sz w:val="24"/>
          <w:szCs w:val="24"/>
        </w:rPr>
        <w:t>Virksomhed, der afgiver støtteerklæring:</w:t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24"/>
          <w:szCs w:val="24"/>
          <w:u w:val="single"/>
        </w:rPr>
      </w:pPr>
      <w:r w:rsidRPr="00556033">
        <w:rPr>
          <w:sz w:val="24"/>
          <w:szCs w:val="24"/>
        </w:rPr>
        <w:t xml:space="preserve">Navn: </w:t>
      </w:r>
      <w:bookmarkStart w:id="1" w:name="StartHere"/>
      <w:bookmarkEnd w:id="1"/>
      <w:r w:rsidR="0051112C" w:rsidRPr="00556033">
        <w:rPr>
          <w:sz w:val="24"/>
          <w:szCs w:val="24"/>
          <w:u w:val="single"/>
        </w:rPr>
        <w:fldChar w:fldCharType="begin"/>
      </w:r>
      <w:r w:rsidR="00523771" w:rsidRPr="00556033">
        <w:rPr>
          <w:sz w:val="24"/>
          <w:szCs w:val="24"/>
          <w:u w:val="single"/>
        </w:rPr>
        <w:instrText xml:space="preserve"> MACROBUTTON NoName […]</w:instrText>
      </w:r>
      <w:r w:rsidR="0051112C" w:rsidRPr="00556033">
        <w:rPr>
          <w:sz w:val="24"/>
          <w:szCs w:val="24"/>
          <w:u w:val="single"/>
        </w:rPr>
        <w:fldChar w:fldCharType="end"/>
      </w:r>
      <w:r w:rsidRPr="00556033">
        <w:rPr>
          <w:sz w:val="24"/>
          <w:szCs w:val="24"/>
          <w:u w:val="single"/>
        </w:rPr>
        <w:tab/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16"/>
          <w:szCs w:val="16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24"/>
          <w:szCs w:val="24"/>
          <w:u w:val="single"/>
        </w:rPr>
      </w:pPr>
      <w:r w:rsidRPr="00556033">
        <w:rPr>
          <w:sz w:val="24"/>
          <w:szCs w:val="24"/>
        </w:rPr>
        <w:t xml:space="preserve">Adresse: </w:t>
      </w:r>
      <w:r w:rsidR="0051112C" w:rsidRPr="00556033">
        <w:rPr>
          <w:sz w:val="24"/>
          <w:szCs w:val="24"/>
          <w:u w:val="single"/>
        </w:rPr>
        <w:fldChar w:fldCharType="begin"/>
      </w:r>
      <w:r w:rsidR="00523771" w:rsidRPr="00556033">
        <w:rPr>
          <w:sz w:val="24"/>
          <w:szCs w:val="24"/>
          <w:u w:val="single"/>
        </w:rPr>
        <w:instrText xml:space="preserve"> MACROBUTTON NoName […]</w:instrText>
      </w:r>
      <w:r w:rsidR="0051112C" w:rsidRPr="00556033">
        <w:rPr>
          <w:sz w:val="24"/>
          <w:szCs w:val="24"/>
          <w:u w:val="single"/>
        </w:rPr>
        <w:fldChar w:fldCharType="end"/>
      </w:r>
      <w:r w:rsidRPr="00556033">
        <w:rPr>
          <w:sz w:val="24"/>
          <w:szCs w:val="24"/>
          <w:u w:val="single"/>
        </w:rPr>
        <w:tab/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16"/>
          <w:szCs w:val="16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24"/>
          <w:szCs w:val="24"/>
          <w:u w:val="single"/>
        </w:rPr>
      </w:pPr>
      <w:r w:rsidRPr="00556033">
        <w:rPr>
          <w:sz w:val="24"/>
          <w:szCs w:val="24"/>
        </w:rPr>
        <w:t xml:space="preserve">CVR-nr. / VAT-no.: </w:t>
      </w:r>
      <w:r w:rsidR="0051112C" w:rsidRPr="00556033">
        <w:rPr>
          <w:sz w:val="24"/>
          <w:szCs w:val="24"/>
          <w:u w:val="single"/>
        </w:rPr>
        <w:fldChar w:fldCharType="begin"/>
      </w:r>
      <w:r w:rsidR="00523771" w:rsidRPr="00556033">
        <w:rPr>
          <w:sz w:val="24"/>
          <w:szCs w:val="24"/>
          <w:u w:val="single"/>
        </w:rPr>
        <w:instrText xml:space="preserve"> MACROBUTTON NoName […]</w:instrText>
      </w:r>
      <w:r w:rsidR="0051112C" w:rsidRPr="00556033">
        <w:rPr>
          <w:sz w:val="24"/>
          <w:szCs w:val="24"/>
          <w:u w:val="single"/>
        </w:rPr>
        <w:fldChar w:fldCharType="end"/>
      </w:r>
      <w:r w:rsidRPr="00556033">
        <w:rPr>
          <w:sz w:val="24"/>
          <w:szCs w:val="24"/>
          <w:u w:val="single"/>
        </w:rPr>
        <w:tab/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16"/>
          <w:szCs w:val="16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sz w:val="24"/>
          <w:szCs w:val="24"/>
          <w:u w:val="single"/>
        </w:rPr>
      </w:pPr>
      <w:r w:rsidRPr="00556033">
        <w:rPr>
          <w:sz w:val="24"/>
          <w:szCs w:val="24"/>
        </w:rPr>
        <w:t xml:space="preserve">Kontaktperson - navn: </w:t>
      </w:r>
      <w:r w:rsidR="0051112C" w:rsidRPr="00556033">
        <w:rPr>
          <w:sz w:val="24"/>
          <w:szCs w:val="24"/>
          <w:u w:val="single"/>
        </w:rPr>
        <w:fldChar w:fldCharType="begin"/>
      </w:r>
      <w:r w:rsidR="00523771" w:rsidRPr="00556033">
        <w:rPr>
          <w:sz w:val="24"/>
          <w:szCs w:val="24"/>
          <w:u w:val="single"/>
        </w:rPr>
        <w:instrText xml:space="preserve"> MACROBUTTON NoName […]</w:instrText>
      </w:r>
      <w:r w:rsidR="0051112C" w:rsidRPr="00556033">
        <w:rPr>
          <w:sz w:val="24"/>
          <w:szCs w:val="24"/>
          <w:u w:val="single"/>
        </w:rPr>
        <w:fldChar w:fldCharType="end"/>
      </w:r>
      <w:r w:rsidRPr="00556033">
        <w:rPr>
          <w:sz w:val="24"/>
          <w:szCs w:val="24"/>
          <w:u w:val="single"/>
        </w:rPr>
        <w:tab/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jc w:val="both"/>
        <w:rPr>
          <w:sz w:val="24"/>
          <w:szCs w:val="24"/>
        </w:rPr>
      </w:pPr>
      <w:r w:rsidRPr="00556033">
        <w:rPr>
          <w:sz w:val="24"/>
          <w:szCs w:val="24"/>
        </w:rPr>
        <w:t xml:space="preserve">erklærer herved, at </w:t>
      </w:r>
      <w:r w:rsidR="00A83B9E" w:rsidRPr="00556033">
        <w:rPr>
          <w:sz w:val="24"/>
          <w:szCs w:val="24"/>
        </w:rPr>
        <w:t>[navn og CVR-nr. på ansøgeren]</w:t>
      </w:r>
      <w:r w:rsidRPr="00556033">
        <w:rPr>
          <w:sz w:val="24"/>
          <w:szCs w:val="24"/>
        </w:rPr>
        <w:t xml:space="preserve">, der anmoder om prækvalifikation i </w:t>
      </w:r>
      <w:r w:rsidR="00D435DE">
        <w:rPr>
          <w:sz w:val="24"/>
          <w:szCs w:val="24"/>
        </w:rPr>
        <w:t>Slots- og Kulturstyrelsens</w:t>
      </w:r>
      <w:r w:rsidRPr="00556033">
        <w:rPr>
          <w:sz w:val="24"/>
          <w:szCs w:val="24"/>
        </w:rPr>
        <w:t xml:space="preserve"> udbud </w:t>
      </w:r>
      <w:r w:rsidR="003F13A7">
        <w:rPr>
          <w:sz w:val="24"/>
          <w:szCs w:val="24"/>
        </w:rPr>
        <w:t>af tilskudsadministrationssystem (ASTA)</w:t>
      </w:r>
      <w:r w:rsidRPr="00556033">
        <w:rPr>
          <w:sz w:val="24"/>
          <w:szCs w:val="24"/>
        </w:rPr>
        <w:t xml:space="preserve">, kan basere sig på vores formåen </w:t>
      </w:r>
      <w:r w:rsidR="00671113" w:rsidRPr="00556033">
        <w:rPr>
          <w:sz w:val="24"/>
          <w:szCs w:val="24"/>
        </w:rPr>
        <w:t>i overensstemmelse med det i det fælles europæiske udbudsdokument angivne</w:t>
      </w:r>
      <w:r w:rsidRPr="00556033">
        <w:rPr>
          <w:sz w:val="24"/>
          <w:szCs w:val="24"/>
        </w:rPr>
        <w:t>, jf. udbudsbekendtgørelsens pkt. III.</w:t>
      </w:r>
      <w:r w:rsidR="00F31F64" w:rsidRPr="00556033">
        <w:rPr>
          <w:sz w:val="24"/>
          <w:szCs w:val="24"/>
        </w:rPr>
        <w:t>1</w:t>
      </w:r>
      <w:r w:rsidRPr="00556033">
        <w:rPr>
          <w:sz w:val="24"/>
          <w:szCs w:val="24"/>
        </w:rPr>
        <w:t>. Vi erklærer</w:t>
      </w:r>
      <w:r w:rsidR="00D23848" w:rsidRPr="00556033">
        <w:rPr>
          <w:sz w:val="24"/>
          <w:szCs w:val="24"/>
        </w:rPr>
        <w:t>, at vi er juridisk forpligtet til at stille den økonomiske og finansielle formåen og/eller den tekniske og faglige formåen til rådighed for kontraktens opfyldelse.</w:t>
      </w:r>
    </w:p>
    <w:p w:rsidR="0029583D" w:rsidRPr="00556033" w:rsidRDefault="0029583D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</w:p>
    <w:p w:rsidR="001A6820" w:rsidRPr="00556033" w:rsidRDefault="001A6820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  <w:r w:rsidRPr="00556033">
        <w:rPr>
          <w:sz w:val="24"/>
          <w:szCs w:val="24"/>
        </w:rPr>
        <w:t>I det omfang ansøgeren baserer sig på vores uddannelsesmæssige og faglige kvalifikationer eller relevante faglige erfaring ved udførelsen a</w:t>
      </w:r>
      <w:r w:rsidR="006C170D" w:rsidRPr="00556033">
        <w:rPr>
          <w:sz w:val="24"/>
          <w:szCs w:val="24"/>
        </w:rPr>
        <w:t>f konkrete dele af kontrakten, vil arbejdet blive udført af os</w:t>
      </w:r>
      <w:r w:rsidR="00C02A47">
        <w:rPr>
          <w:sz w:val="24"/>
          <w:szCs w:val="24"/>
        </w:rPr>
        <w:t>.</w:t>
      </w:r>
    </w:p>
    <w:p w:rsidR="001A6820" w:rsidRPr="00556033" w:rsidRDefault="001A6820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</w:p>
    <w:p w:rsidR="00D23848" w:rsidRPr="00556033" w:rsidRDefault="001A6820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ind w:right="140"/>
        <w:rPr>
          <w:sz w:val="24"/>
          <w:szCs w:val="24"/>
        </w:rPr>
      </w:pPr>
      <w:r w:rsidRPr="00556033">
        <w:rPr>
          <w:sz w:val="24"/>
          <w:szCs w:val="24"/>
        </w:rPr>
        <w:t>V</w:t>
      </w:r>
      <w:r w:rsidR="00D23848" w:rsidRPr="00556033">
        <w:rPr>
          <w:sz w:val="24"/>
          <w:szCs w:val="24"/>
        </w:rPr>
        <w:t xml:space="preserve">i erklærer endvidere, at </w:t>
      </w:r>
      <w:r w:rsidRPr="00556033">
        <w:rPr>
          <w:sz w:val="24"/>
          <w:szCs w:val="24"/>
        </w:rPr>
        <w:t>vi hæfter</w:t>
      </w:r>
      <w:r w:rsidR="00C02A47">
        <w:rPr>
          <w:sz w:val="24"/>
          <w:szCs w:val="24"/>
        </w:rPr>
        <w:t xml:space="preserve"> ubegrænset og</w:t>
      </w:r>
      <w:r w:rsidRPr="00556033">
        <w:rPr>
          <w:sz w:val="24"/>
          <w:szCs w:val="24"/>
        </w:rPr>
        <w:t xml:space="preserve"> solidarisk for kontraktens gennemførelse, idet ansøgeren baserer sig på vores økonomiske og finansielle formåen.</w:t>
      </w:r>
      <w:r w:rsidR="00C02A47">
        <w:rPr>
          <w:sz w:val="24"/>
          <w:szCs w:val="24"/>
        </w:rPr>
        <w:t xml:space="preserve"> [</w:t>
      </w:r>
      <w:r w:rsidR="00C02A47" w:rsidRPr="00C02A47">
        <w:rPr>
          <w:i/>
          <w:sz w:val="24"/>
          <w:szCs w:val="24"/>
        </w:rPr>
        <w:t>denne passus kan slettes, såfremt ansøger ikke baserer sig økonomisk og finansielt på den støttende virksomhed</w:t>
      </w:r>
      <w:r w:rsidR="00C02A47">
        <w:rPr>
          <w:sz w:val="24"/>
          <w:szCs w:val="24"/>
        </w:rPr>
        <w:t>]</w:t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right" w:pos="9498"/>
        </w:tabs>
        <w:ind w:right="140"/>
        <w:rPr>
          <w:b/>
          <w:sz w:val="24"/>
          <w:szCs w:val="24"/>
          <w:u w:val="single"/>
        </w:rPr>
      </w:pPr>
      <w:r w:rsidRPr="00556033">
        <w:rPr>
          <w:b/>
          <w:sz w:val="24"/>
          <w:szCs w:val="24"/>
          <w:u w:val="single"/>
        </w:rPr>
        <w:tab/>
      </w: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1701"/>
          <w:tab w:val="left" w:pos="4536"/>
          <w:tab w:val="left" w:pos="5103"/>
          <w:tab w:val="left" w:pos="7938"/>
        </w:tabs>
        <w:ind w:right="140"/>
        <w:jc w:val="center"/>
        <w:rPr>
          <w:sz w:val="24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1701"/>
          <w:tab w:val="left" w:pos="4536"/>
          <w:tab w:val="left" w:pos="5103"/>
          <w:tab w:val="left" w:pos="7938"/>
        </w:tabs>
        <w:ind w:right="140"/>
        <w:jc w:val="center"/>
        <w:rPr>
          <w:sz w:val="24"/>
        </w:rPr>
      </w:pPr>
    </w:p>
    <w:p w:rsidR="0029583D" w:rsidRPr="00556033" w:rsidRDefault="0029583D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1701"/>
          <w:tab w:val="left" w:pos="4536"/>
          <w:tab w:val="left" w:pos="5103"/>
          <w:tab w:val="left" w:pos="7938"/>
        </w:tabs>
        <w:ind w:right="140"/>
        <w:jc w:val="center"/>
        <w:rPr>
          <w:sz w:val="24"/>
        </w:rPr>
      </w:pPr>
    </w:p>
    <w:p w:rsidR="005F66CB" w:rsidRPr="00556033" w:rsidRDefault="0029583D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851"/>
          <w:tab w:val="center" w:pos="2552"/>
          <w:tab w:val="right" w:pos="4253"/>
          <w:tab w:val="center" w:pos="4820"/>
          <w:tab w:val="left" w:pos="5387"/>
          <w:tab w:val="center" w:pos="7088"/>
          <w:tab w:val="right" w:pos="8789"/>
        </w:tabs>
        <w:ind w:right="140"/>
        <w:rPr>
          <w:sz w:val="24"/>
          <w:u w:val="single"/>
        </w:rPr>
      </w:pPr>
      <w:r w:rsidRPr="00556033">
        <w:rPr>
          <w:sz w:val="24"/>
        </w:rPr>
        <w:tab/>
      </w:r>
      <w:r w:rsidRPr="00556033">
        <w:rPr>
          <w:sz w:val="24"/>
          <w:u w:val="single"/>
        </w:rPr>
        <w:tab/>
      </w:r>
      <w:r w:rsidR="0051112C" w:rsidRPr="00556033">
        <w:rPr>
          <w:sz w:val="24"/>
          <w:u w:val="single"/>
        </w:rPr>
        <w:fldChar w:fldCharType="begin"/>
      </w:r>
      <w:r w:rsidRPr="00556033">
        <w:rPr>
          <w:sz w:val="24"/>
          <w:u w:val="single"/>
        </w:rPr>
        <w:instrText xml:space="preserve"> MACROBUTTON NoName […]</w:instrText>
      </w:r>
      <w:r w:rsidR="0051112C" w:rsidRPr="00556033">
        <w:rPr>
          <w:sz w:val="24"/>
          <w:u w:val="single"/>
        </w:rPr>
        <w:fldChar w:fldCharType="end"/>
      </w:r>
      <w:r w:rsidRPr="00556033">
        <w:rPr>
          <w:sz w:val="24"/>
          <w:u w:val="single"/>
        </w:rPr>
        <w:tab/>
      </w:r>
      <w:r w:rsidRPr="00556033">
        <w:rPr>
          <w:sz w:val="24"/>
        </w:rPr>
        <w:tab/>
        <w:t>d</w:t>
      </w:r>
      <w:r w:rsidR="00523771" w:rsidRPr="00556033">
        <w:rPr>
          <w:sz w:val="24"/>
        </w:rPr>
        <w:t>en</w:t>
      </w:r>
      <w:r w:rsidRPr="00556033">
        <w:rPr>
          <w:sz w:val="24"/>
        </w:rPr>
        <w:tab/>
      </w:r>
      <w:r w:rsidRPr="00556033">
        <w:rPr>
          <w:sz w:val="24"/>
          <w:u w:val="single"/>
        </w:rPr>
        <w:tab/>
      </w:r>
      <w:r w:rsidR="0051112C" w:rsidRPr="00556033">
        <w:rPr>
          <w:sz w:val="24"/>
          <w:u w:val="single"/>
        </w:rPr>
        <w:fldChar w:fldCharType="begin"/>
      </w:r>
      <w:r w:rsidRPr="00556033">
        <w:rPr>
          <w:sz w:val="24"/>
          <w:u w:val="single"/>
        </w:rPr>
        <w:instrText xml:space="preserve"> MACROBUTTON NoName […]</w:instrText>
      </w:r>
      <w:r w:rsidR="0051112C" w:rsidRPr="00556033">
        <w:rPr>
          <w:sz w:val="24"/>
          <w:u w:val="single"/>
        </w:rPr>
        <w:fldChar w:fldCharType="end"/>
      </w:r>
      <w:r w:rsidRPr="00556033">
        <w:rPr>
          <w:sz w:val="24"/>
          <w:u w:val="single"/>
        </w:rPr>
        <w:tab/>
      </w:r>
    </w:p>
    <w:p w:rsidR="0029583D" w:rsidRPr="00556033" w:rsidRDefault="0029583D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851"/>
          <w:tab w:val="center" w:pos="2552"/>
          <w:tab w:val="right" w:pos="4253"/>
          <w:tab w:val="center" w:pos="4820"/>
          <w:tab w:val="left" w:pos="5387"/>
          <w:tab w:val="center" w:pos="7088"/>
          <w:tab w:val="right" w:pos="8789"/>
        </w:tabs>
        <w:ind w:right="140"/>
        <w:rPr>
          <w:i/>
        </w:rPr>
      </w:pPr>
      <w:r w:rsidRPr="00556033">
        <w:rPr>
          <w:sz w:val="24"/>
        </w:rPr>
        <w:tab/>
      </w:r>
      <w:r w:rsidRPr="00556033">
        <w:rPr>
          <w:i/>
        </w:rPr>
        <w:tab/>
        <w:t>Sted</w:t>
      </w:r>
      <w:r w:rsidRPr="00556033">
        <w:rPr>
          <w:i/>
        </w:rPr>
        <w:tab/>
      </w:r>
      <w:r w:rsidRPr="00556033">
        <w:rPr>
          <w:i/>
        </w:rPr>
        <w:tab/>
      </w:r>
      <w:r w:rsidRPr="00556033">
        <w:rPr>
          <w:i/>
        </w:rPr>
        <w:tab/>
      </w:r>
      <w:r w:rsidRPr="00556033">
        <w:rPr>
          <w:i/>
        </w:rPr>
        <w:tab/>
        <w:t>Dato</w:t>
      </w:r>
    </w:p>
    <w:p w:rsidR="005F66CB" w:rsidRPr="00556033" w:rsidRDefault="005F66CB" w:rsidP="006C170D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1701"/>
          <w:tab w:val="left" w:pos="4536"/>
          <w:tab w:val="left" w:pos="5103"/>
          <w:tab w:val="left" w:pos="7938"/>
        </w:tabs>
        <w:ind w:right="140"/>
        <w:rPr>
          <w:sz w:val="24"/>
        </w:rPr>
      </w:pPr>
    </w:p>
    <w:p w:rsidR="005F66CB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1701"/>
          <w:tab w:val="left" w:pos="4536"/>
          <w:tab w:val="left" w:pos="5103"/>
          <w:tab w:val="left" w:pos="7938"/>
        </w:tabs>
        <w:ind w:right="140"/>
        <w:jc w:val="center"/>
        <w:rPr>
          <w:sz w:val="24"/>
        </w:rPr>
      </w:pPr>
    </w:p>
    <w:p w:rsidR="005F66CB" w:rsidRPr="00556033" w:rsidRDefault="00523771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851"/>
          <w:tab w:val="right" w:pos="8789"/>
        </w:tabs>
        <w:ind w:right="140"/>
        <w:rPr>
          <w:b/>
          <w:sz w:val="24"/>
          <w:u w:val="single"/>
        </w:rPr>
      </w:pPr>
      <w:r w:rsidRPr="00556033">
        <w:rPr>
          <w:sz w:val="24"/>
        </w:rPr>
        <w:tab/>
      </w:r>
      <w:r w:rsidRPr="00556033">
        <w:rPr>
          <w:b/>
          <w:sz w:val="24"/>
          <w:u w:val="single"/>
        </w:rPr>
        <w:tab/>
      </w:r>
    </w:p>
    <w:p w:rsidR="005B5735" w:rsidRPr="00556033" w:rsidRDefault="005F66CB" w:rsidP="002363CB">
      <w:pPr>
        <w:pBdr>
          <w:top w:val="triple" w:sz="4" w:space="15" w:color="auto"/>
          <w:left w:val="triple" w:sz="4" w:space="15" w:color="auto"/>
          <w:bottom w:val="triple" w:sz="4" w:space="15" w:color="auto"/>
          <w:right w:val="triple" w:sz="4" w:space="15" w:color="auto"/>
        </w:pBdr>
        <w:tabs>
          <w:tab w:val="left" w:pos="1701"/>
          <w:tab w:val="left" w:pos="4536"/>
          <w:tab w:val="left" w:pos="5103"/>
          <w:tab w:val="left" w:pos="5670"/>
          <w:tab w:val="left" w:pos="8505"/>
        </w:tabs>
        <w:ind w:right="140"/>
        <w:jc w:val="center"/>
        <w:rPr>
          <w:i/>
          <w:sz w:val="24"/>
        </w:rPr>
      </w:pPr>
      <w:r w:rsidRPr="00556033">
        <w:rPr>
          <w:i/>
        </w:rPr>
        <w:t>Virksomhedens underskrift</w:t>
      </w:r>
      <w:r w:rsidR="00487B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6541770</wp:posOffset>
                </wp:positionV>
                <wp:extent cx="3225800" cy="1463040"/>
                <wp:effectExtent l="0" t="209550" r="12700" b="22860"/>
                <wp:wrapNone/>
                <wp:docPr id="3" name="Rektangulær billedforklari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5800" cy="1463040"/>
                        </a:xfrm>
                        <a:prstGeom prst="wedgeRectCallout">
                          <a:avLst>
                            <a:gd name="adj1" fmla="val 20574"/>
                            <a:gd name="adj2" fmla="val -62990"/>
                          </a:avLst>
                        </a:prstGeom>
                        <a:solidFill>
                          <a:srgbClr val="F39600">
                            <a:alpha val="91000"/>
                          </a:srgbClr>
                        </a:solidFill>
                        <a:ln>
                          <a:solidFill>
                            <a:srgbClr val="77675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E4F" w:rsidRPr="00CB4C96" w:rsidRDefault="00236E4F" w:rsidP="00236E4F">
                            <w:pPr>
                              <w:pStyle w:val="Note"/>
                            </w:pPr>
                            <w:r w:rsidRPr="00CB4C96">
                              <w:t>Det foreslås, at vi generelt skriver, at vi alene fremlægger de for sagen "relevante" dokumenter, selvom bekendtgørelse om Klagenævnet for Udbud, § 6, stk. 1, omtaler "sagens dokumenter". Der er ikke som tidligere samme behov for at give klagenævnet indsigt i samtlige udbudsdokumenter i sagen. Dette begrundes ud fra 3 forhold:</w:t>
                            </w:r>
                          </w:p>
                          <w:p w:rsidR="00236E4F" w:rsidRPr="00CB4C96" w:rsidRDefault="00236E4F" w:rsidP="00236E4F">
                            <w:pPr>
                              <w:pStyle w:val="Note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CB4C96">
                              <w:t>Sagens overskuelighed</w:t>
                            </w:r>
                          </w:p>
                          <w:p w:rsidR="00236E4F" w:rsidRPr="00CB4C96" w:rsidRDefault="00236E4F" w:rsidP="00236E4F">
                            <w:pPr>
                              <w:pStyle w:val="Note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CB4C96">
                              <w:t>Klagenævnet har med håndhævelseslovens § 10, stk. 1, 2. pkt. - i modsætning til tidligere - ikke mulighed for at tage stilling til andet og mere, end der er nedlagt påstand om</w:t>
                            </w:r>
                          </w:p>
                          <w:p w:rsidR="00236E4F" w:rsidRPr="00CB4C96" w:rsidRDefault="00236E4F" w:rsidP="00236E4F">
                            <w:pPr>
                              <w:pStyle w:val="Note"/>
                              <w:numPr>
                                <w:ilvl w:val="0"/>
                                <w:numId w:val="50"/>
                              </w:numPr>
                              <w:tabs>
                                <w:tab w:val="left" w:pos="284"/>
                              </w:tabs>
                              <w:ind w:left="284" w:hanging="284"/>
                            </w:pPr>
                            <w:r w:rsidRPr="00CB4C96">
                              <w:t>Klagenævnet har til enhver tid mulighed for at anmode sagens parter om at tilvejebringe oplysninger, som skønnes at have betydning for sagens bedømmelse, jf. bekendtgørelse om Klagenævnet for Udbud § 6, stk. 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ktangulær billedforklaring 3" o:spid="_x0000_s1026" type="#_x0000_t61" style="position:absolute;left:0;text-align:left;margin-left:72.35pt;margin-top:515.1pt;width:254pt;height:1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" adj="15244,-2806" fillcolor="#f39600" strokecolor="#77675b" strokeweight="2pt">
                <v:fill opacity="59624f"/>
                <v:path arrowok="t"/>
                <v:textbox style="mso-fit-shape-to-text:t" inset=".5mm,.5mm,.5mm,.5mm">
                  <w:txbxContent>
                    <w:p w:rsidR="00236E4F" w:rsidRPr="00CB4C96" w:rsidRDefault="00236E4F" w:rsidP="00236E4F">
                      <w:pPr>
                        <w:pStyle w:val="Note"/>
                      </w:pPr>
                      <w:r w:rsidRPr="00CB4C96">
                        <w:t>Det foreslås, at vi generelt skriver, at vi alene fremlægger de for sagen "relevante" dokumenter, selvom bekendtgørelse om Klagenævnet for Udbud, § 6, stk. 1, omtaler "sagens dokumenter". Der er ikke som tidligere samme behov for at give klagenævnet indsigt i samtlige udbudsdokumenter i sagen. Dette begrundes ud fra 3 forhold:</w:t>
                      </w:r>
                    </w:p>
                    <w:p w:rsidR="00236E4F" w:rsidRPr="00CB4C96" w:rsidRDefault="00236E4F" w:rsidP="00236E4F">
                      <w:pPr>
                        <w:pStyle w:val="Note"/>
                        <w:numPr>
                          <w:ilvl w:val="0"/>
                          <w:numId w:val="50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CB4C96">
                        <w:t>Sagens overskuelighed</w:t>
                      </w:r>
                    </w:p>
                    <w:p w:rsidR="00236E4F" w:rsidRPr="00CB4C96" w:rsidRDefault="00236E4F" w:rsidP="00236E4F">
                      <w:pPr>
                        <w:pStyle w:val="Note"/>
                        <w:numPr>
                          <w:ilvl w:val="0"/>
                          <w:numId w:val="50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CB4C96">
                        <w:t>Klagenævnet har med håndhævelseslovens § 10, stk. 1, 2. pkt. - i modsætning til tidligere - ikke mulighed for at tage stilling til andet og mere, end der er nedlagt påstand om</w:t>
                      </w:r>
                    </w:p>
                    <w:p w:rsidR="00236E4F" w:rsidRPr="00CB4C96" w:rsidRDefault="00236E4F" w:rsidP="00236E4F">
                      <w:pPr>
                        <w:pStyle w:val="Note"/>
                        <w:numPr>
                          <w:ilvl w:val="0"/>
                          <w:numId w:val="50"/>
                        </w:numPr>
                        <w:tabs>
                          <w:tab w:val="left" w:pos="284"/>
                        </w:tabs>
                        <w:ind w:left="284" w:hanging="284"/>
                      </w:pPr>
                      <w:r w:rsidRPr="00CB4C96">
                        <w:t>Klagenævnet har til enhver tid mulighed for at anmode sagens parter om at tilvejebringe oplysninger, som skønnes at have betydning for sagens bedømmelse, jf. bekendtgørelse om Klagenævnet for Udbud § 6, stk. 2.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5735" w:rsidRPr="00556033" w:rsidSect="001511E3">
      <w:pgSz w:w="11906" w:h="16838" w:code="9"/>
      <w:pgMar w:top="851" w:right="1134" w:bottom="426" w:left="1134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1CE" w:rsidRDefault="001E11CE" w:rsidP="00914755">
      <w:pPr>
        <w:ind w:right="1957"/>
      </w:pPr>
      <w:r>
        <w:separator/>
      </w:r>
    </w:p>
  </w:endnote>
  <w:endnote w:type="continuationSeparator" w:id="0">
    <w:p w:rsidR="001E11CE" w:rsidRDefault="001E11CE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1CE" w:rsidRDefault="001E11CE" w:rsidP="00914755">
      <w:pPr>
        <w:ind w:right="1957"/>
      </w:pPr>
      <w:r>
        <w:separator/>
      </w:r>
    </w:p>
  </w:footnote>
  <w:footnote w:type="continuationSeparator" w:id="0">
    <w:p w:rsidR="001E11CE" w:rsidRDefault="001E11CE" w:rsidP="00914755">
      <w:pPr>
        <w:ind w:right="19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5FC713BB"/>
    <w:multiLevelType w:val="hybridMultilevel"/>
    <w:tmpl w:val="550AF7F6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  <w:num w:numId="47">
    <w:abstractNumId w:val="11"/>
  </w:num>
  <w:num w:numId="48">
    <w:abstractNumId w:val="11"/>
  </w:num>
  <w:num w:numId="49">
    <w:abstractNumId w:val="11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5F66CB"/>
    <w:rsid w:val="00010640"/>
    <w:rsid w:val="000276E4"/>
    <w:rsid w:val="000365E3"/>
    <w:rsid w:val="00036C8D"/>
    <w:rsid w:val="0005455F"/>
    <w:rsid w:val="000722E9"/>
    <w:rsid w:val="00076055"/>
    <w:rsid w:val="00096C7C"/>
    <w:rsid w:val="000D24F9"/>
    <w:rsid w:val="000E4C7B"/>
    <w:rsid w:val="000E70FA"/>
    <w:rsid w:val="0010660A"/>
    <w:rsid w:val="001149D9"/>
    <w:rsid w:val="00140DA2"/>
    <w:rsid w:val="001511E3"/>
    <w:rsid w:val="00154527"/>
    <w:rsid w:val="00155B2A"/>
    <w:rsid w:val="00193067"/>
    <w:rsid w:val="001A6820"/>
    <w:rsid w:val="001B2E09"/>
    <w:rsid w:val="001C275D"/>
    <w:rsid w:val="001C4FC8"/>
    <w:rsid w:val="001D2683"/>
    <w:rsid w:val="001D61C4"/>
    <w:rsid w:val="001E11CE"/>
    <w:rsid w:val="00202262"/>
    <w:rsid w:val="0022504A"/>
    <w:rsid w:val="002363CB"/>
    <w:rsid w:val="00236E4F"/>
    <w:rsid w:val="00253E6A"/>
    <w:rsid w:val="00257D04"/>
    <w:rsid w:val="002671EA"/>
    <w:rsid w:val="00280A9B"/>
    <w:rsid w:val="00285A4F"/>
    <w:rsid w:val="0029583D"/>
    <w:rsid w:val="002A7543"/>
    <w:rsid w:val="002D0869"/>
    <w:rsid w:val="00316E26"/>
    <w:rsid w:val="00322F72"/>
    <w:rsid w:val="00364007"/>
    <w:rsid w:val="003A6762"/>
    <w:rsid w:val="003F13A7"/>
    <w:rsid w:val="00403D6C"/>
    <w:rsid w:val="004317FD"/>
    <w:rsid w:val="004349B4"/>
    <w:rsid w:val="00464A39"/>
    <w:rsid w:val="00475CA3"/>
    <w:rsid w:val="00480627"/>
    <w:rsid w:val="00486435"/>
    <w:rsid w:val="00487877"/>
    <w:rsid w:val="00487B33"/>
    <w:rsid w:val="0049280E"/>
    <w:rsid w:val="00497A84"/>
    <w:rsid w:val="004B19B2"/>
    <w:rsid w:val="004B568C"/>
    <w:rsid w:val="004D1724"/>
    <w:rsid w:val="004F4EEF"/>
    <w:rsid w:val="004F741A"/>
    <w:rsid w:val="00500436"/>
    <w:rsid w:val="00500E34"/>
    <w:rsid w:val="0051112C"/>
    <w:rsid w:val="00516931"/>
    <w:rsid w:val="00523771"/>
    <w:rsid w:val="00535651"/>
    <w:rsid w:val="00556033"/>
    <w:rsid w:val="0056154F"/>
    <w:rsid w:val="00566F25"/>
    <w:rsid w:val="0058398A"/>
    <w:rsid w:val="005846EC"/>
    <w:rsid w:val="005B5735"/>
    <w:rsid w:val="005E7295"/>
    <w:rsid w:val="005F66CB"/>
    <w:rsid w:val="00612BD6"/>
    <w:rsid w:val="006134F8"/>
    <w:rsid w:val="00614C20"/>
    <w:rsid w:val="0065364E"/>
    <w:rsid w:val="006661C5"/>
    <w:rsid w:val="00671113"/>
    <w:rsid w:val="006C170D"/>
    <w:rsid w:val="006C4883"/>
    <w:rsid w:val="006D0857"/>
    <w:rsid w:val="006F0B74"/>
    <w:rsid w:val="006F2E14"/>
    <w:rsid w:val="006F2FB6"/>
    <w:rsid w:val="00731A22"/>
    <w:rsid w:val="00732AF3"/>
    <w:rsid w:val="00747985"/>
    <w:rsid w:val="00774694"/>
    <w:rsid w:val="007B7049"/>
    <w:rsid w:val="00805633"/>
    <w:rsid w:val="008058A8"/>
    <w:rsid w:val="00826160"/>
    <w:rsid w:val="00826D42"/>
    <w:rsid w:val="00833F17"/>
    <w:rsid w:val="00856B5D"/>
    <w:rsid w:val="00863353"/>
    <w:rsid w:val="00863A94"/>
    <w:rsid w:val="008A2868"/>
    <w:rsid w:val="008B3515"/>
    <w:rsid w:val="008C2ACD"/>
    <w:rsid w:val="008C4D70"/>
    <w:rsid w:val="00914755"/>
    <w:rsid w:val="00955A56"/>
    <w:rsid w:val="00991295"/>
    <w:rsid w:val="009A35B9"/>
    <w:rsid w:val="009B1DE3"/>
    <w:rsid w:val="009C18C5"/>
    <w:rsid w:val="009C3DA6"/>
    <w:rsid w:val="009F59BE"/>
    <w:rsid w:val="00A06E5A"/>
    <w:rsid w:val="00A1275B"/>
    <w:rsid w:val="00A315F6"/>
    <w:rsid w:val="00A33793"/>
    <w:rsid w:val="00A42848"/>
    <w:rsid w:val="00A428EE"/>
    <w:rsid w:val="00A678CE"/>
    <w:rsid w:val="00A74488"/>
    <w:rsid w:val="00A83B9E"/>
    <w:rsid w:val="00AA2302"/>
    <w:rsid w:val="00AC5924"/>
    <w:rsid w:val="00AE3364"/>
    <w:rsid w:val="00AE3D0E"/>
    <w:rsid w:val="00AE4071"/>
    <w:rsid w:val="00B11BD7"/>
    <w:rsid w:val="00B24694"/>
    <w:rsid w:val="00B24C81"/>
    <w:rsid w:val="00B26EEB"/>
    <w:rsid w:val="00B3798E"/>
    <w:rsid w:val="00B45B87"/>
    <w:rsid w:val="00B467AF"/>
    <w:rsid w:val="00B470C8"/>
    <w:rsid w:val="00B90AF0"/>
    <w:rsid w:val="00BB121A"/>
    <w:rsid w:val="00BE094A"/>
    <w:rsid w:val="00C02A47"/>
    <w:rsid w:val="00C42341"/>
    <w:rsid w:val="00C95CAE"/>
    <w:rsid w:val="00CE58D2"/>
    <w:rsid w:val="00D101E1"/>
    <w:rsid w:val="00D162AC"/>
    <w:rsid w:val="00D1655A"/>
    <w:rsid w:val="00D23848"/>
    <w:rsid w:val="00D435DE"/>
    <w:rsid w:val="00D51C6A"/>
    <w:rsid w:val="00D7060F"/>
    <w:rsid w:val="00D71D95"/>
    <w:rsid w:val="00D801EB"/>
    <w:rsid w:val="00DA6465"/>
    <w:rsid w:val="00DB5ACB"/>
    <w:rsid w:val="00DB65C6"/>
    <w:rsid w:val="00E153E0"/>
    <w:rsid w:val="00E41D98"/>
    <w:rsid w:val="00E54B62"/>
    <w:rsid w:val="00E741D2"/>
    <w:rsid w:val="00EC0709"/>
    <w:rsid w:val="00EC23E4"/>
    <w:rsid w:val="00EC7090"/>
    <w:rsid w:val="00EF5F1F"/>
    <w:rsid w:val="00F025AC"/>
    <w:rsid w:val="00F06980"/>
    <w:rsid w:val="00F31F64"/>
    <w:rsid w:val="00F34BA7"/>
    <w:rsid w:val="00F37933"/>
    <w:rsid w:val="00F73DD6"/>
    <w:rsid w:val="00FA0C98"/>
    <w:rsid w:val="00FA1763"/>
    <w:rsid w:val="00FE630E"/>
    <w:rsid w:val="00FF6FDD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  <o:rules v:ext="edit">
        <o:r id="V:Rule1" type="callout" idref="#Rektangulær billedforklaring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6CB"/>
    <w:pPr>
      <w:spacing w:line="240" w:lineRule="auto"/>
      <w:ind w:right="0"/>
      <w:jc w:val="left"/>
    </w:p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spacing w:after="160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F025AC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spacing w:after="240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</w:pPr>
    <w:rPr>
      <w:rFonts w:eastAsia="MS Mincho" w:cs="Tahoma"/>
      <w:bCs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left" w:pos="369"/>
      </w:tabs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right" w:leader="dot" w:pos="8823"/>
      </w:tabs>
      <w:spacing w:line="348" w:lineRule="auto"/>
      <w:ind w:left="567" w:right="567" w:hanging="567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left" w:pos="1276"/>
        <w:tab w:val="right" w:leader="dot" w:pos="8823"/>
      </w:tabs>
      <w:spacing w:line="348" w:lineRule="auto"/>
      <w:ind w:left="1276" w:right="567" w:hanging="709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left" w:pos="2126"/>
        <w:tab w:val="right" w:leader="dot" w:pos="8823"/>
      </w:tabs>
      <w:spacing w:line="348" w:lineRule="auto"/>
      <w:ind w:left="2127" w:right="567" w:hanging="851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left" w:pos="3119"/>
        <w:tab w:val="right" w:leader="dot" w:pos="8823"/>
      </w:tabs>
      <w:spacing w:line="348" w:lineRule="auto"/>
      <w:ind w:left="3118" w:right="567" w:hanging="992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jc w:val="center"/>
    </w:pPr>
    <w:rPr>
      <w:sz w:val="14"/>
    </w:rPr>
  </w:style>
  <w:style w:type="paragraph" w:styleId="Sidehoved">
    <w:name w:val="header"/>
    <w:basedOn w:val="Normal"/>
    <w:rsid w:val="001B2E09"/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customStyle="1" w:styleId="Note">
    <w:name w:val="Note"/>
    <w:basedOn w:val="Normal"/>
    <w:link w:val="NoteTegn"/>
    <w:autoRedefine/>
    <w:qFormat/>
    <w:rsid w:val="00236E4F"/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rsid w:val="00236E4F"/>
    <w:rPr>
      <w:bCs/>
      <w:color w:val="404040" w:themeColor="text1" w:themeTint="BF"/>
      <w:sz w:val="16"/>
    </w:rPr>
  </w:style>
  <w:style w:type="paragraph" w:styleId="Markeringsbobletekst">
    <w:name w:val="Balloon Text"/>
    <w:basedOn w:val="Normal"/>
    <w:link w:val="MarkeringsbobletekstTegn"/>
    <w:rsid w:val="00236E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36E4F"/>
    <w:rPr>
      <w:rFonts w:ascii="Tahoma" w:hAnsi="Tahoma" w:cs="Tahoma"/>
      <w:bCs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66CB"/>
    <w:rPr>
      <w:b/>
      <w:iCs/>
      <w:caps/>
      <w:sz w:val="23"/>
      <w:szCs w:val="26"/>
    </w:rPr>
  </w:style>
  <w:style w:type="paragraph" w:styleId="Kommentaremne">
    <w:name w:val="annotation subject"/>
    <w:basedOn w:val="Kommentartekst"/>
    <w:next w:val="Kommentartekst"/>
    <w:link w:val="KommentaremneTegn"/>
    <w:rsid w:val="0048643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86435"/>
  </w:style>
  <w:style w:type="character" w:customStyle="1" w:styleId="KommentaremneTegn">
    <w:name w:val="Kommentaremne Tegn"/>
    <w:basedOn w:val="KommentartekstTegn"/>
    <w:link w:val="Kommentaremne"/>
    <w:rsid w:val="00486435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9C3DA6"/>
    <w:rPr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12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66CB"/>
    <w:pPr>
      <w:spacing w:line="240" w:lineRule="auto"/>
      <w:ind w:right="0"/>
      <w:jc w:val="left"/>
    </w:pPr>
  </w:style>
  <w:style w:type="paragraph" w:styleId="Overskrift1">
    <w:name w:val="heading 1"/>
    <w:basedOn w:val="Normal"/>
    <w:next w:val="Normal"/>
    <w:qFormat/>
    <w:rsid w:val="00F025AC"/>
    <w:pPr>
      <w:keepNext/>
      <w:numPr>
        <w:numId w:val="49"/>
      </w:numPr>
      <w:spacing w:after="160"/>
      <w:outlineLvl w:val="0"/>
    </w:pPr>
    <w:rPr>
      <w:b/>
      <w:caps/>
    </w:rPr>
  </w:style>
  <w:style w:type="paragraph" w:styleId="Overskrift2">
    <w:name w:val="heading 2"/>
    <w:basedOn w:val="Normal"/>
    <w:next w:val="Normal"/>
    <w:qFormat/>
    <w:rsid w:val="00F025AC"/>
    <w:pPr>
      <w:keepNext/>
      <w:numPr>
        <w:ilvl w:val="1"/>
        <w:numId w:val="49"/>
      </w:numPr>
      <w:outlineLvl w:val="1"/>
    </w:pPr>
    <w:rPr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49"/>
      </w:numPr>
      <w:outlineLvl w:val="2"/>
    </w:pPr>
    <w:rPr>
      <w:b/>
      <w:bCs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49"/>
      </w:numPr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uiPriority w:val="9"/>
    <w:qFormat/>
    <w:rsid w:val="00F025AC"/>
    <w:pPr>
      <w:numPr>
        <w:numId w:val="0"/>
      </w:numPr>
      <w:outlineLvl w:val="4"/>
    </w:pPr>
    <w:rPr>
      <w:bCs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spacing w:after="240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</w:pPr>
    <w:rPr>
      <w:rFonts w:eastAsia="MS Mincho" w:cs="Tahoma"/>
      <w:bCs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</w:pPr>
    <w:rPr>
      <w:rFonts w:eastAsia="MS Mincho" w:cs="Tahoma"/>
      <w:bCs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left" w:pos="369"/>
      </w:tabs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right" w:leader="dot" w:pos="8823"/>
      </w:tabs>
      <w:spacing w:line="348" w:lineRule="auto"/>
      <w:ind w:left="567" w:right="567" w:hanging="567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left" w:pos="1276"/>
        <w:tab w:val="right" w:leader="dot" w:pos="8823"/>
      </w:tabs>
      <w:spacing w:line="348" w:lineRule="auto"/>
      <w:ind w:left="1276" w:right="567" w:hanging="709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left" w:pos="2126"/>
        <w:tab w:val="right" w:leader="dot" w:pos="8823"/>
      </w:tabs>
      <w:spacing w:line="348" w:lineRule="auto"/>
      <w:ind w:left="2127" w:right="567" w:hanging="851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left" w:pos="3119"/>
        <w:tab w:val="right" w:leader="dot" w:pos="8823"/>
      </w:tabs>
      <w:spacing w:line="348" w:lineRule="auto"/>
      <w:ind w:left="3118" w:right="567" w:hanging="992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spacing w:before="200" w:after="300" w:line="312" w:lineRule="auto"/>
    </w:pPr>
    <w:rPr>
      <w:b/>
      <w:bCs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1B2E09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1B2E09"/>
    <w:pPr>
      <w:numPr>
        <w:numId w:val="4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6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8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10"/>
      </w:numPr>
    </w:pPr>
  </w:style>
  <w:style w:type="paragraph" w:styleId="Opstilling-talellerbogst">
    <w:name w:val="List Number"/>
    <w:basedOn w:val="Normal"/>
    <w:rsid w:val="001B2E09"/>
    <w:pPr>
      <w:numPr>
        <w:numId w:val="12"/>
      </w:numPr>
    </w:pPr>
  </w:style>
  <w:style w:type="paragraph" w:styleId="Opstilling-talellerbogst2">
    <w:name w:val="List Number 2"/>
    <w:basedOn w:val="Normal"/>
    <w:rsid w:val="001B2E09"/>
    <w:pPr>
      <w:numPr>
        <w:numId w:val="14"/>
      </w:numPr>
    </w:pPr>
  </w:style>
  <w:style w:type="paragraph" w:styleId="Opstilling-talellerbogst3">
    <w:name w:val="List Number 3"/>
    <w:basedOn w:val="Normal"/>
    <w:rsid w:val="001B2E09"/>
    <w:pPr>
      <w:numPr>
        <w:numId w:val="16"/>
      </w:numPr>
    </w:pPr>
  </w:style>
  <w:style w:type="paragraph" w:styleId="Opstilling-talellerbogst4">
    <w:name w:val="List Number 4"/>
    <w:basedOn w:val="Normal"/>
    <w:rsid w:val="001B2E09"/>
    <w:pPr>
      <w:numPr>
        <w:numId w:val="18"/>
      </w:numPr>
    </w:pPr>
  </w:style>
  <w:style w:type="paragraph" w:styleId="Opstilling-talellerbogst5">
    <w:name w:val="List Number 5"/>
    <w:basedOn w:val="Normal"/>
    <w:rsid w:val="001B2E09"/>
    <w:pPr>
      <w:numPr>
        <w:numId w:val="2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rsid w:val="001B2E09"/>
    <w:pPr>
      <w:jc w:val="center"/>
    </w:pPr>
    <w:rPr>
      <w:sz w:val="14"/>
    </w:rPr>
  </w:style>
  <w:style w:type="paragraph" w:styleId="Sidehoved">
    <w:name w:val="header"/>
    <w:basedOn w:val="Normal"/>
    <w:rsid w:val="001B2E09"/>
  </w:style>
  <w:style w:type="character" w:styleId="Sidetal">
    <w:name w:val="page number"/>
    <w:basedOn w:val="Standardskrifttypeiafsnit"/>
    <w:uiPriority w:val="12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qFormat/>
    <w:rsid w:val="00F025AC"/>
    <w:pPr>
      <w:keepNext/>
      <w:spacing w:after="240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28"/>
      </w:numPr>
      <w:tabs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paragraph" w:customStyle="1" w:styleId="Note">
    <w:name w:val="Note"/>
    <w:basedOn w:val="Normal"/>
    <w:link w:val="NoteTegn"/>
    <w:autoRedefine/>
    <w:qFormat/>
    <w:rsid w:val="00236E4F"/>
    <w:rPr>
      <w:color w:val="404040" w:themeColor="text1" w:themeTint="BF"/>
      <w:sz w:val="16"/>
    </w:rPr>
  </w:style>
  <w:style w:type="character" w:customStyle="1" w:styleId="NoteTegn">
    <w:name w:val="Note Tegn"/>
    <w:basedOn w:val="Standardskrifttypeiafsnit"/>
    <w:link w:val="Note"/>
    <w:rsid w:val="00236E4F"/>
    <w:rPr>
      <w:bCs/>
      <w:color w:val="404040" w:themeColor="text1" w:themeTint="BF"/>
      <w:sz w:val="16"/>
    </w:rPr>
  </w:style>
  <w:style w:type="paragraph" w:styleId="Markeringsbobletekst">
    <w:name w:val="Balloon Text"/>
    <w:basedOn w:val="Normal"/>
    <w:link w:val="MarkeringsbobletekstTegn"/>
    <w:rsid w:val="00236E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36E4F"/>
    <w:rPr>
      <w:rFonts w:ascii="Tahoma" w:hAnsi="Tahoma" w:cs="Tahoma"/>
      <w:bCs/>
      <w:sz w:val="16"/>
      <w:szCs w:val="16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F66CB"/>
    <w:rPr>
      <w:b/>
      <w:iCs/>
      <w:caps/>
      <w:sz w:val="23"/>
      <w:szCs w:val="26"/>
    </w:rPr>
  </w:style>
  <w:style w:type="paragraph" w:styleId="Kommentaremne">
    <w:name w:val="annotation subject"/>
    <w:basedOn w:val="Kommentartekst"/>
    <w:next w:val="Kommentartekst"/>
    <w:link w:val="KommentaremneTegn"/>
    <w:rsid w:val="00486435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486435"/>
  </w:style>
  <w:style w:type="character" w:customStyle="1" w:styleId="KommentaremneTegn">
    <w:name w:val="Kommentaremne Tegn"/>
    <w:basedOn w:val="KommentartekstTegn"/>
    <w:link w:val="Kommentaremne"/>
    <w:rsid w:val="00486435"/>
    <w:rPr>
      <w:b/>
      <w:bCs/>
    </w:rPr>
  </w:style>
  <w:style w:type="character" w:styleId="Pladsholdertekst">
    <w:name w:val="Placeholder Text"/>
    <w:basedOn w:val="Standardskrifttypeiafsnit"/>
    <w:uiPriority w:val="99"/>
    <w:semiHidden/>
    <w:rsid w:val="009C3DA6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s\AppData\Roaming\Microsoft\Skabeloner\Paradigme%20uden%20firma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39600">
            <a:alpha val="91000"/>
          </a:srgbClr>
        </a:solidFill>
        <a:ln>
          <a:solidFill>
            <a:srgbClr val="77675B"/>
          </a:solidFill>
        </a:ln>
      </a:spPr>
      <a:bodyPr lIns="18000" tIns="18000" rIns="18000" bIns="18000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Paradigme uden firma.dotx</Template>
  <TotalTime>1</TotalTime>
  <Pages>1</Pages>
  <Words>215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\\kasrvstorage\f\paradigma_til_tms\Tikit\GrK\Udbudsdokumenter;Udbudsbekendtgørelse;Støtteerklæring\Støtteerklæring.docx</vt:lpstr>
      <vt:lpstr>\\kasrvstorage\f\paradigma_til_tms\Tikit\GrK\Udbudsdokumenter;Udbudsbekendtgørelse;Støtteerklæring\Støtteerklæring.docx</vt:lpstr>
    </vt:vector>
  </TitlesOfParts>
  <Company>Kammeradvokaten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\\kasrvstorage\f\paradigma_til_tms\Tikit\GrK\Udbudsdokumenter;Udbudsbekendtgørelse;Støtteerklæring\Støtteerklæring.docx</dc:title>
  <dc:creator>Gitte Holch Struntze</dc:creator>
  <dc:description>prev: Støtteerklæring (8032051_3).DOCX</dc:description>
  <cp:lastModifiedBy>Christina Bysted Bang</cp:lastModifiedBy>
  <cp:revision>2</cp:revision>
  <cp:lastPrinted>2016-04-15T09:29:00Z</cp:lastPrinted>
  <dcterms:created xsi:type="dcterms:W3CDTF">2017-03-10T11:01:00Z</dcterms:created>
  <dcterms:modified xsi:type="dcterms:W3CDTF">2017-03-10T11:01:00Z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S_Doc">
    <vt:lpwstr>TMS_Doc</vt:lpwstr>
  </property>
  <property fmtid="{D5CDD505-2E9C-101B-9397-08002B2CF9AE}" pid="3" name="ContentRemapped">
    <vt:lpwstr>true</vt:lpwstr>
  </property>
  <property fmtid="{D5CDD505-2E9C-101B-9397-08002B2CF9AE}" pid="4" name="SD_DocumentLanguage">
    <vt:lpwstr>da-DK</vt:lpwstr>
  </property>
</Properties>
</file>