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3548AA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E7A" w:rsidRDefault="00335159" w:rsidP="00315156">
            <w:pPr>
              <w:pStyle w:val="DokTitel"/>
            </w:pPr>
            <w:r>
              <w:t xml:space="preserve">Bilag </w:t>
            </w:r>
            <w:r w:rsidR="00315156">
              <w:t>12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315156" w:rsidRPr="00B32EFF">
              <w:t xml:space="preserve">Vederlag og betalingsplan </w:t>
            </w:r>
          </w:p>
          <w:p w:rsidR="00D55ADF" w:rsidRPr="00DB0BAE" w:rsidRDefault="00315156" w:rsidP="00315156">
            <w:pPr>
              <w:pStyle w:val="DokTitel"/>
            </w:pPr>
            <w:r w:rsidRPr="00B32EFF">
              <w:t>samt øvrige priser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9F3EDD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3548AA" w:rsidRDefault="00BD225A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698976" w:history="1">
            <w:r w:rsidR="003548AA" w:rsidRPr="008C5741">
              <w:rPr>
                <w:rStyle w:val="Hyperlink"/>
                <w:noProof/>
              </w:rPr>
              <w:t>1.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Indledning</w:t>
            </w:r>
            <w:r w:rsidR="003548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77" w:history="1">
            <w:r w:rsidR="003548AA" w:rsidRPr="008C5741">
              <w:rPr>
                <w:rStyle w:val="Hyperlink"/>
                <w:noProof/>
              </w:rPr>
              <w:t>2.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Betalingsplan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_Toc475698977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5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78" w:history="1">
            <w:r w:rsidR="003548AA" w:rsidRPr="008C5741">
              <w:rPr>
                <w:rStyle w:val="Hyperlink"/>
                <w:noProof/>
              </w:rPr>
              <w:t>3.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Leverancevederlag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_Toc475698978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5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79" w:history="1">
            <w:r w:rsidR="003548AA" w:rsidRPr="008C5741">
              <w:rPr>
                <w:rStyle w:val="Hyperlink"/>
              </w:rPr>
              <w:t>3.1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Vederlag for gennemførelse af afklaringsfasen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_Toc475698979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5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0" w:history="1">
            <w:r w:rsidR="003548AA" w:rsidRPr="008C5741">
              <w:rPr>
                <w:rStyle w:val="Hyperlink"/>
              </w:rPr>
              <w:t>3.2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Standardprogrammel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_Toc475698980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1" w:history="1">
            <w:r w:rsidR="003548AA" w:rsidRPr="008C5741">
              <w:rPr>
                <w:rStyle w:val="Hyperlink"/>
              </w:rPr>
              <w:t>3.3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Kundespecifikt Programmel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_Toc475698981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2" w:history="1">
            <w:r w:rsidR="003548AA" w:rsidRPr="008C5741">
              <w:rPr>
                <w:rStyle w:val="Hyperlink"/>
              </w:rPr>
              <w:t>3.4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Dokumentation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_Toc475698982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3" w:history="1">
            <w:r w:rsidR="003548AA" w:rsidRPr="008C5741">
              <w:rPr>
                <w:rStyle w:val="Hyperlink"/>
              </w:rPr>
              <w:t>3.5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Øvrige ydelser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_Toc475698983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84" w:history="1">
            <w:r w:rsidR="003548AA" w:rsidRPr="008C5741">
              <w:rPr>
                <w:rStyle w:val="Hyperlink"/>
                <w:noProof/>
              </w:rPr>
              <w:t>4.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Timebaserede vederlag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_Toc475698984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6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5" w:history="1">
            <w:r w:rsidR="003548AA" w:rsidRPr="008C5741">
              <w:rPr>
                <w:rStyle w:val="Hyperlink"/>
              </w:rPr>
              <w:t>4.1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Indledning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_Toc475698985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6" w:history="1">
            <w:r w:rsidR="003548AA" w:rsidRPr="008C5741">
              <w:rPr>
                <w:rStyle w:val="Hyperlink"/>
              </w:rPr>
              <w:t>4.2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Generel timepris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_Toc475698986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87" w:history="1">
            <w:r w:rsidR="003548AA" w:rsidRPr="008C5741">
              <w:rPr>
                <w:rStyle w:val="Hyperlink"/>
              </w:rPr>
              <w:t>4.3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Timepriser for vedligeholdelsesarbejder uden for normal arbejdstid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_Toc475698987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6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88" w:history="1">
            <w:r w:rsidR="003548AA" w:rsidRPr="008C5741">
              <w:rPr>
                <w:rStyle w:val="Hyperlink"/>
                <w:noProof/>
              </w:rPr>
              <w:t>5.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Vederlag for vedligeholdelse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_Toc475698988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7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89" w:history="1">
            <w:r w:rsidR="003548AA" w:rsidRPr="008C5741">
              <w:rPr>
                <w:rStyle w:val="Hyperlink"/>
                <w:noProof/>
              </w:rPr>
              <w:t>6.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Justering af brugerantal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_Toc475698989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7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90" w:history="1">
            <w:r w:rsidR="003548AA" w:rsidRPr="008C5741">
              <w:rPr>
                <w:rStyle w:val="Hyperlink"/>
              </w:rPr>
              <w:t>6.1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Forøgelse af brugerantal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_Toc475698990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7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91" w:history="1">
            <w:r w:rsidR="003548AA" w:rsidRPr="008C5741">
              <w:rPr>
                <w:rStyle w:val="Hyperlink"/>
              </w:rPr>
              <w:t>6.2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Reduktion af brugere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_Toc475698991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7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92" w:history="1">
            <w:r w:rsidR="003548AA" w:rsidRPr="008C5741">
              <w:rPr>
                <w:rStyle w:val="Hyperlink"/>
              </w:rPr>
              <w:t>6.3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Særlige forhold vedr. ændringer af brugere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_Toc475698992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7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93" w:history="1">
            <w:r w:rsidR="003548AA" w:rsidRPr="008C5741">
              <w:rPr>
                <w:rStyle w:val="Hyperlink"/>
                <w:noProof/>
              </w:rPr>
              <w:t>7.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Vederlag for udtræden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_Toc475698993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8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94" w:history="1">
            <w:r w:rsidR="003548AA" w:rsidRPr="008C5741">
              <w:rPr>
                <w:rStyle w:val="Hyperlink"/>
                <w:noProof/>
              </w:rPr>
              <w:t>8.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Optioner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_Toc475698994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8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95" w:history="1">
            <w:r w:rsidR="003548AA" w:rsidRPr="008C5741">
              <w:rPr>
                <w:rStyle w:val="Hyperlink"/>
              </w:rPr>
              <w:t>8.1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Option 1 – Konvertering af igangværende sager fra TAS – delmængde 1/3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_Toc475698995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8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96" w:history="1">
            <w:r w:rsidR="003548AA" w:rsidRPr="008C5741">
              <w:rPr>
                <w:rStyle w:val="Hyperlink"/>
              </w:rPr>
              <w:t>8.2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Option 2 – Konvertering af igangværende sager fra TAS – delmængde 2/3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_Toc475698996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8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8997" w:history="1">
            <w:r w:rsidR="003548AA" w:rsidRPr="008C5741">
              <w:rPr>
                <w:rStyle w:val="Hyperlink"/>
              </w:rPr>
              <w:t>8.3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Option 3 – Konvertering af igangværende sager fra TAS – delmængde 3/3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_Toc475698997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8</w:t>
            </w:r>
            <w:r w:rsidR="00BD225A">
              <w:rPr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98" w:history="1">
            <w:r w:rsidR="003548AA" w:rsidRPr="008C5741">
              <w:rPr>
                <w:rStyle w:val="Hyperlink"/>
                <w:noProof/>
              </w:rPr>
              <w:t>9.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Regulering af priser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_Toc475698998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8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1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98999" w:history="1">
            <w:r w:rsidR="003548AA" w:rsidRPr="008C5741">
              <w:rPr>
                <w:rStyle w:val="Hyperlink"/>
                <w:noProof/>
              </w:rPr>
              <w:t>10.</w:t>
            </w:r>
            <w:r w:rsidR="003548AA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  <w:noProof/>
              </w:rPr>
              <w:t>Betalingsbetingelser</w:t>
            </w:r>
            <w:r w:rsidR="003548AA">
              <w:rPr>
                <w:noProof/>
                <w:webHidden/>
              </w:rPr>
              <w:tab/>
            </w:r>
            <w:r w:rsidR="00BD225A">
              <w:rPr>
                <w:noProof/>
                <w:webHidden/>
              </w:rPr>
              <w:fldChar w:fldCharType="begin"/>
            </w:r>
            <w:r w:rsidR="003548AA">
              <w:rPr>
                <w:noProof/>
                <w:webHidden/>
              </w:rPr>
              <w:instrText xml:space="preserve"> PAGEREF _Toc475698999 \h </w:instrText>
            </w:r>
            <w:r w:rsidR="00BD225A">
              <w:rPr>
                <w:noProof/>
                <w:webHidden/>
              </w:rPr>
            </w:r>
            <w:r w:rsidR="00BD225A">
              <w:rPr>
                <w:noProof/>
                <w:webHidden/>
              </w:rPr>
              <w:fldChar w:fldCharType="separate"/>
            </w:r>
            <w:r w:rsidR="00CB24A9">
              <w:rPr>
                <w:noProof/>
                <w:webHidden/>
              </w:rPr>
              <w:t>9</w:t>
            </w:r>
            <w:r w:rsidR="00BD225A">
              <w:rPr>
                <w:noProof/>
                <w:webHidden/>
              </w:rPr>
              <w:fldChar w:fldCharType="end"/>
            </w:r>
          </w:hyperlink>
        </w:p>
        <w:p w:rsidR="003548AA" w:rsidRDefault="00B4620D" w:rsidP="003548AA">
          <w:pPr>
            <w:pStyle w:val="Indholdsfortegnelse2"/>
            <w:tabs>
              <w:tab w:val="clear" w:pos="8823"/>
              <w:tab w:val="right" w:leader="dot" w:pos="80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699000" w:history="1">
            <w:r w:rsidR="003548AA" w:rsidRPr="008C5741">
              <w:rPr>
                <w:rStyle w:val="Hyperlink"/>
              </w:rPr>
              <w:t>10.1</w:t>
            </w:r>
            <w:r w:rsidR="003548A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3548AA" w:rsidRPr="008C5741">
              <w:rPr>
                <w:rStyle w:val="Hyperlink"/>
              </w:rPr>
              <w:t>Krav til faktura</w:t>
            </w:r>
            <w:r w:rsidR="003548AA">
              <w:rPr>
                <w:webHidden/>
              </w:rPr>
              <w:tab/>
            </w:r>
            <w:r w:rsidR="00BD225A">
              <w:rPr>
                <w:webHidden/>
              </w:rPr>
              <w:fldChar w:fldCharType="begin"/>
            </w:r>
            <w:r w:rsidR="003548AA">
              <w:rPr>
                <w:webHidden/>
              </w:rPr>
              <w:instrText xml:space="preserve"> PAGEREF _Toc475699000 \h </w:instrText>
            </w:r>
            <w:r w:rsidR="00BD225A">
              <w:rPr>
                <w:webHidden/>
              </w:rPr>
            </w:r>
            <w:r w:rsidR="00BD225A">
              <w:rPr>
                <w:webHidden/>
              </w:rPr>
              <w:fldChar w:fldCharType="separate"/>
            </w:r>
            <w:r w:rsidR="00CB24A9">
              <w:rPr>
                <w:webHidden/>
              </w:rPr>
              <w:t>9</w:t>
            </w:r>
            <w:r w:rsidR="00BD225A">
              <w:rPr>
                <w:webHidden/>
              </w:rPr>
              <w:fldChar w:fldCharType="end"/>
            </w:r>
          </w:hyperlink>
        </w:p>
        <w:p w:rsidR="00D55ADF" w:rsidRDefault="00BD225A" w:rsidP="003548AA">
          <w:pPr>
            <w:tabs>
              <w:tab w:val="right" w:leader="dot" w:pos="8080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315156" w:rsidP="00315156">
      <w:pPr>
        <w:pStyle w:val="Overskrift"/>
      </w:pPr>
      <w:r>
        <w:t>B</w:t>
      </w:r>
      <w:r w:rsidR="00A95264">
        <w:t>ilag</w:t>
      </w:r>
      <w:r>
        <w:t xml:space="preserve"> til dette dokument</w:t>
      </w:r>
    </w:p>
    <w:p w:rsidR="00A95264" w:rsidRPr="00B1742F" w:rsidRDefault="00A95264" w:rsidP="00D55ADF">
      <w:pPr>
        <w:rPr>
          <w:bCs w:val="0"/>
          <w:sz w:val="22"/>
          <w:szCs w:val="22"/>
        </w:rPr>
      </w:pPr>
      <w:r w:rsidRPr="00B1742F">
        <w:rPr>
          <w:bCs w:val="0"/>
          <w:sz w:val="22"/>
          <w:szCs w:val="22"/>
        </w:rPr>
        <w:t xml:space="preserve">Appendiks A </w:t>
      </w:r>
      <w:r w:rsidR="00315156" w:rsidRPr="00B32EFF">
        <w:t>Leverandørens priser</w:t>
      </w: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315156" w:rsidRPr="00B32EFF" w:rsidRDefault="00315156" w:rsidP="00315156">
      <w:pPr>
        <w:rPr>
          <w:b/>
          <w:i/>
          <w:smallCaps/>
          <w:sz w:val="22"/>
        </w:rPr>
      </w:pPr>
      <w:r w:rsidRPr="00B32EFF">
        <w:rPr>
          <w:b/>
          <w:i/>
        </w:rPr>
        <w:lastRenderedPageBreak/>
        <w:t xml:space="preserve">Vejledning til </w:t>
      </w:r>
      <w:r w:rsidR="009F3EDD">
        <w:rPr>
          <w:b/>
          <w:i/>
        </w:rPr>
        <w:t>T</w:t>
      </w:r>
      <w:r w:rsidRPr="00B32EFF">
        <w:rPr>
          <w:b/>
          <w:i/>
        </w:rPr>
        <w:t>ilbudsgiver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</w:p>
    <w:p w:rsidR="00810830" w:rsidRPr="00B32EFF" w:rsidRDefault="00810830" w:rsidP="00810830">
      <w:pPr>
        <w:rPr>
          <w:i/>
          <w:iCs/>
        </w:rPr>
      </w:pPr>
      <w:r w:rsidRPr="00B32EFF">
        <w:rPr>
          <w:i/>
          <w:iCs/>
        </w:rPr>
        <w:t>Denne vejledningstekst og øvrige vejledningstekster i bilaget slettes forud for kontrak</w:t>
      </w:r>
      <w:r w:rsidRPr="00B32EFF">
        <w:rPr>
          <w:i/>
          <w:iCs/>
        </w:rPr>
        <w:t>t</w:t>
      </w:r>
      <w:r w:rsidRPr="00B32EFF">
        <w:rPr>
          <w:i/>
          <w:iCs/>
        </w:rPr>
        <w:t>indgåelse.</w:t>
      </w:r>
    </w:p>
    <w:p w:rsidR="00810830" w:rsidRDefault="00810830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>Dette bilag 12 angiver Leverandørens priser og vilkårene herfor. Bilag</w:t>
      </w:r>
      <w:r>
        <w:rPr>
          <w:i/>
        </w:rPr>
        <w:t xml:space="preserve"> 12</w:t>
      </w:r>
      <w:r w:rsidRPr="00B32EFF">
        <w:rPr>
          <w:i/>
        </w:rPr>
        <w:t xml:space="preserve"> skal </w:t>
      </w:r>
      <w:r w:rsidRPr="00B32EFF">
        <w:rPr>
          <w:i/>
          <w:u w:val="single"/>
        </w:rPr>
        <w:t>ikke</w:t>
      </w:r>
      <w:r w:rsidRPr="00B32EFF">
        <w:rPr>
          <w:i/>
        </w:rPr>
        <w:t xml:space="preserve"> u</w:t>
      </w:r>
      <w:r w:rsidRPr="00B32EFF">
        <w:rPr>
          <w:i/>
        </w:rPr>
        <w:t>d</w:t>
      </w:r>
      <w:r w:rsidRPr="00B32EFF">
        <w:rPr>
          <w:i/>
        </w:rPr>
        <w:t xml:space="preserve">fyldes af </w:t>
      </w:r>
      <w:r w:rsidR="009F3EDD">
        <w:rPr>
          <w:i/>
        </w:rPr>
        <w:t>T</w:t>
      </w:r>
      <w:r w:rsidRPr="00B32EFF">
        <w:rPr>
          <w:i/>
        </w:rPr>
        <w:t xml:space="preserve">ilbudsgiver. Tilbudsgiver skal derimod udfylde bilag 12, </w:t>
      </w:r>
      <w:r>
        <w:rPr>
          <w:i/>
        </w:rPr>
        <w:t>A</w:t>
      </w:r>
      <w:r w:rsidRPr="00B32EFF">
        <w:rPr>
          <w:i/>
        </w:rPr>
        <w:t xml:space="preserve">ppendiks A. </w:t>
      </w:r>
      <w:r w:rsidR="005422F1">
        <w:rPr>
          <w:i/>
        </w:rPr>
        <w:t>Vejle</w:t>
      </w:r>
      <w:r w:rsidR="005422F1">
        <w:rPr>
          <w:i/>
        </w:rPr>
        <w:t>d</w:t>
      </w:r>
      <w:r w:rsidR="005422F1">
        <w:rPr>
          <w:i/>
        </w:rPr>
        <w:t>ningen omfatter både bilag 12 og bilag 12, Appendiks A.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Tilbudsgiver skal i </w:t>
      </w:r>
      <w:r w:rsidRPr="00B32EFF">
        <w:rPr>
          <w:i/>
          <w:u w:val="single"/>
        </w:rPr>
        <w:t>bilag 12, Appendiks A</w:t>
      </w:r>
      <w:r>
        <w:rPr>
          <w:i/>
          <w:u w:val="single"/>
        </w:rPr>
        <w:t>,</w:t>
      </w:r>
      <w:r w:rsidRPr="00B32EFF">
        <w:rPr>
          <w:i/>
        </w:rPr>
        <w:t xml:space="preserve"> angive samtlige prise</w:t>
      </w:r>
      <w:r>
        <w:rPr>
          <w:i/>
        </w:rPr>
        <w:t>lemente</w:t>
      </w:r>
      <w:r w:rsidRPr="00B32EFF">
        <w:rPr>
          <w:i/>
        </w:rPr>
        <w:t>r</w:t>
      </w:r>
      <w:r>
        <w:rPr>
          <w:i/>
        </w:rPr>
        <w:t xml:space="preserve"> for Leverancen og for Løbende Ydelser. </w:t>
      </w:r>
      <w:r w:rsidRPr="00B32EFF">
        <w:rPr>
          <w:i/>
        </w:rPr>
        <w:t>Det understreg</w:t>
      </w:r>
      <w:r>
        <w:rPr>
          <w:i/>
        </w:rPr>
        <w:t>e</w:t>
      </w:r>
      <w:r w:rsidRPr="00B32EFF">
        <w:rPr>
          <w:i/>
        </w:rPr>
        <w:t>s, at bilag 12, Appendiks A</w:t>
      </w:r>
      <w:r>
        <w:rPr>
          <w:i/>
        </w:rPr>
        <w:t>,</w:t>
      </w:r>
      <w:r w:rsidRPr="00B32EFF">
        <w:rPr>
          <w:i/>
        </w:rPr>
        <w:t xml:space="preserve"> indeholder en yde</w:t>
      </w:r>
      <w:r w:rsidRPr="00B32EFF">
        <w:rPr>
          <w:i/>
        </w:rPr>
        <w:t>r</w:t>
      </w:r>
      <w:r w:rsidRPr="00B32EFF">
        <w:rPr>
          <w:i/>
        </w:rPr>
        <w:t>ligere detaljering af priselementerne</w:t>
      </w:r>
      <w:r>
        <w:rPr>
          <w:i/>
        </w:rPr>
        <w:t xml:space="preserve"> nævnt</w:t>
      </w:r>
      <w:r w:rsidRPr="00B32EFF">
        <w:rPr>
          <w:i/>
        </w:rPr>
        <w:t xml:space="preserve"> i bilag 12, der skal således udfyldes flere priser i Appendiks A</w:t>
      </w:r>
      <w:r w:rsidR="009F3EDD">
        <w:rPr>
          <w:i/>
        </w:rPr>
        <w:t>,</w:t>
      </w:r>
      <w:r w:rsidRPr="00B32EFF">
        <w:rPr>
          <w:i/>
        </w:rPr>
        <w:t xml:space="preserve"> end hvad der fremgår af nærværende bilag.</w:t>
      </w:r>
    </w:p>
    <w:p w:rsidR="00315156" w:rsidRPr="00B32EFF" w:rsidRDefault="00315156" w:rsidP="00315156">
      <w:pPr>
        <w:rPr>
          <w:i/>
        </w:rPr>
      </w:pPr>
    </w:p>
    <w:p w:rsidR="00315156" w:rsidRDefault="00315156" w:rsidP="00315156">
      <w:pPr>
        <w:rPr>
          <w:i/>
        </w:rPr>
      </w:pPr>
      <w:r w:rsidRPr="00B32EFF">
        <w:rPr>
          <w:i/>
        </w:rPr>
        <w:t>Appendiks A indgår i et Excel-dokument ("bilag 12</w:t>
      </w:r>
      <w:r w:rsidR="000C3D99">
        <w:rPr>
          <w:i/>
        </w:rPr>
        <w:t>, Appendiks A Leverandørens priser</w:t>
      </w:r>
      <w:r w:rsidRPr="00B32EFF">
        <w:rPr>
          <w:i/>
        </w:rPr>
        <w:t xml:space="preserve">). Excel-dokumentet består af </w:t>
      </w:r>
      <w:r w:rsidR="00B45B27">
        <w:rPr>
          <w:i/>
        </w:rPr>
        <w:t>2</w:t>
      </w:r>
      <w:r w:rsidRPr="00B32EFF">
        <w:rPr>
          <w:i/>
        </w:rPr>
        <w:t xml:space="preserve"> faneblade, som er benævnt således:</w:t>
      </w:r>
    </w:p>
    <w:p w:rsidR="00354992" w:rsidRPr="00B32EFF" w:rsidRDefault="00354992" w:rsidP="00315156">
      <w:pPr>
        <w:rPr>
          <w:i/>
        </w:rPr>
      </w:pPr>
    </w:p>
    <w:p w:rsidR="00315156" w:rsidRPr="00B32EFF" w:rsidRDefault="00315156" w:rsidP="00315156">
      <w:pPr>
        <w:pStyle w:val="Listeafsnit"/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  <w:rPr>
          <w:i/>
        </w:rPr>
      </w:pPr>
      <w:r w:rsidRPr="00B32EFF">
        <w:rPr>
          <w:i/>
        </w:rPr>
        <w:t>Faneblad 1 - Priselementer</w:t>
      </w:r>
    </w:p>
    <w:p w:rsidR="00315156" w:rsidRPr="00B32EFF" w:rsidRDefault="00315156" w:rsidP="00315156">
      <w:pPr>
        <w:pStyle w:val="Listeafsnit"/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  <w:rPr>
          <w:i/>
        </w:rPr>
      </w:pPr>
      <w:r w:rsidRPr="00B32EFF">
        <w:rPr>
          <w:i/>
        </w:rPr>
        <w:t xml:space="preserve">Faneblad 2 - Samlet teknisk pris </w:t>
      </w:r>
    </w:p>
    <w:p w:rsidR="00315156" w:rsidRPr="00B32EFF" w:rsidRDefault="00315156" w:rsidP="00B45B27"/>
    <w:p w:rsidR="00315156" w:rsidRPr="00B32EFF" w:rsidRDefault="00315156" w:rsidP="00315156">
      <w:pPr>
        <w:rPr>
          <w:i/>
          <w:iCs/>
        </w:rPr>
      </w:pPr>
      <w:r w:rsidRPr="00B32EFF">
        <w:rPr>
          <w:i/>
          <w:iCs/>
        </w:rPr>
        <w:t xml:space="preserve">Faneblad 1 udgør bilag </w:t>
      </w:r>
      <w:r>
        <w:rPr>
          <w:i/>
          <w:iCs/>
        </w:rPr>
        <w:t>A</w:t>
      </w:r>
      <w:r w:rsidRPr="00B32EFF">
        <w:rPr>
          <w:i/>
          <w:iCs/>
        </w:rPr>
        <w:t>ppendiks A til bilag 12 og indeholder alle de priselementer</w:t>
      </w:r>
      <w:r w:rsidR="009F3EDD">
        <w:rPr>
          <w:i/>
          <w:iCs/>
        </w:rPr>
        <w:t>,</w:t>
      </w:r>
      <w:r w:rsidRPr="00B32EFF">
        <w:rPr>
          <w:i/>
          <w:iCs/>
        </w:rPr>
        <w:t xml:space="preserve"> </w:t>
      </w:r>
      <w:r w:rsidR="009F3EDD">
        <w:rPr>
          <w:i/>
          <w:iCs/>
        </w:rPr>
        <w:t>T</w:t>
      </w:r>
      <w:r w:rsidRPr="00B32EFF">
        <w:rPr>
          <w:i/>
          <w:iCs/>
        </w:rPr>
        <w:t>ilbudsgiver skal angive i henhold til Kontraktens bilag 12.</w:t>
      </w:r>
    </w:p>
    <w:p w:rsidR="00315156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  <w:iCs/>
        </w:rPr>
      </w:pPr>
      <w:r w:rsidRPr="00B81721">
        <w:rPr>
          <w:i/>
        </w:rPr>
        <w:t xml:space="preserve">Faneblad 2 indeholder en opgørelse af den samlede tilbudstekniske pris for Kontraktens bilag 12. </w:t>
      </w:r>
      <w:r w:rsidRPr="00B32EFF">
        <w:rPr>
          <w:i/>
          <w:iCs/>
        </w:rPr>
        <w:t>Tilbudsgiver kan således præcist se, hvorledes de enkelte priselementer indgår i den</w:t>
      </w:r>
      <w:r>
        <w:rPr>
          <w:i/>
          <w:iCs/>
        </w:rPr>
        <w:t xml:space="preserve"> samlede tilbuds</w:t>
      </w:r>
      <w:r w:rsidRPr="00B32EFF">
        <w:rPr>
          <w:i/>
          <w:iCs/>
        </w:rPr>
        <w:t>tekniske pris. Fane</w:t>
      </w:r>
      <w:r>
        <w:rPr>
          <w:i/>
          <w:iCs/>
        </w:rPr>
        <w:t>blad 2</w:t>
      </w:r>
      <w:r w:rsidRPr="00B32EFF">
        <w:rPr>
          <w:i/>
          <w:iCs/>
        </w:rPr>
        <w:t xml:space="preserve"> skal ikke udfyldes af </w:t>
      </w:r>
      <w:r w:rsidR="009F3EDD">
        <w:rPr>
          <w:i/>
          <w:iCs/>
        </w:rPr>
        <w:t>T</w:t>
      </w:r>
      <w:r w:rsidRPr="00B32EFF">
        <w:rPr>
          <w:i/>
          <w:iCs/>
        </w:rPr>
        <w:t xml:space="preserve">ilbudsgiver. </w:t>
      </w:r>
      <w:r w:rsidRPr="00B81721">
        <w:rPr>
          <w:i/>
        </w:rPr>
        <w:t xml:space="preserve">Den tekniske pris beregnes </w:t>
      </w:r>
      <w:r>
        <w:rPr>
          <w:i/>
        </w:rPr>
        <w:t xml:space="preserve">automatisk </w:t>
      </w:r>
      <w:r w:rsidRPr="00B81721">
        <w:rPr>
          <w:i/>
        </w:rPr>
        <w:t>ved en sammentælling af de i faneblad 1 afgivne priser i overensstemmels</w:t>
      </w:r>
      <w:r>
        <w:rPr>
          <w:i/>
        </w:rPr>
        <w:t>e med vejledningen i faneblad 3, og opgørelsen af den samlede ti</w:t>
      </w:r>
      <w:r>
        <w:rPr>
          <w:i/>
        </w:rPr>
        <w:t>l</w:t>
      </w:r>
      <w:r>
        <w:rPr>
          <w:i/>
        </w:rPr>
        <w:t>budsteknisk</w:t>
      </w:r>
      <w:r w:rsidR="009F3EDD">
        <w:rPr>
          <w:i/>
        </w:rPr>
        <w:t>e</w:t>
      </w:r>
      <w:r>
        <w:rPr>
          <w:i/>
        </w:rPr>
        <w:t xml:space="preserve"> pris fremgår herefter af faneblad 2</w:t>
      </w:r>
      <w:r>
        <w:rPr>
          <w:i/>
          <w:iCs/>
        </w:rPr>
        <w:t>.</w:t>
      </w:r>
    </w:p>
    <w:p w:rsidR="00315156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>Tilbudsgiver bedes være meget omhyggelig med udfyldelsen af Appendi</w:t>
      </w:r>
      <w:r>
        <w:rPr>
          <w:i/>
        </w:rPr>
        <w:t>ks</w:t>
      </w:r>
      <w:r w:rsidRPr="00B32EFF">
        <w:rPr>
          <w:i/>
        </w:rPr>
        <w:t xml:space="preserve"> A og</w:t>
      </w:r>
      <w:r>
        <w:rPr>
          <w:i/>
        </w:rPr>
        <w:t xml:space="preserve"> </w:t>
      </w:r>
      <w:r w:rsidR="009F3EDD">
        <w:rPr>
          <w:i/>
        </w:rPr>
        <w:t xml:space="preserve">i </w:t>
      </w:r>
      <w:r>
        <w:rPr>
          <w:i/>
        </w:rPr>
        <w:t>fan</w:t>
      </w:r>
      <w:r>
        <w:rPr>
          <w:i/>
        </w:rPr>
        <w:t>e</w:t>
      </w:r>
      <w:r>
        <w:rPr>
          <w:i/>
        </w:rPr>
        <w:t>blad 1</w:t>
      </w:r>
      <w:r w:rsidRPr="00B32EFF">
        <w:rPr>
          <w:i/>
        </w:rPr>
        <w:t xml:space="preserve"> sikre</w:t>
      </w:r>
      <w:r w:rsidR="009F3EDD">
        <w:rPr>
          <w:i/>
        </w:rPr>
        <w:t>,</w:t>
      </w:r>
      <w:r w:rsidRPr="00B32EFF">
        <w:rPr>
          <w:i/>
        </w:rPr>
        <w:t xml:space="preserve"> at alle efterspurgte priser er afgivet. </w:t>
      </w:r>
    </w:p>
    <w:p w:rsidR="00315156" w:rsidRPr="00B32EFF" w:rsidRDefault="00315156" w:rsidP="00315156">
      <w:pPr>
        <w:rPr>
          <w:i/>
          <w:iCs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Det er et </w:t>
      </w:r>
      <w:r w:rsidRPr="00B45B27">
        <w:rPr>
          <w:b/>
          <w:i/>
          <w:u w:val="single"/>
        </w:rPr>
        <w:t>mindstekrav</w:t>
      </w:r>
      <w:r w:rsidRPr="00B32EFF">
        <w:rPr>
          <w:i/>
        </w:rPr>
        <w:t xml:space="preserve">, at tilbudsgiver udfylder </w:t>
      </w:r>
      <w:r>
        <w:rPr>
          <w:i/>
        </w:rPr>
        <w:t>A</w:t>
      </w:r>
      <w:r w:rsidRPr="00B32EFF">
        <w:rPr>
          <w:i/>
        </w:rPr>
        <w:t>ppendiks A i overensstemmelse med nærværende vejledning. Alle</w:t>
      </w:r>
      <w:r>
        <w:rPr>
          <w:i/>
        </w:rPr>
        <w:t xml:space="preserve"> hvide</w:t>
      </w:r>
      <w:r w:rsidRPr="00B32EFF">
        <w:rPr>
          <w:i/>
        </w:rPr>
        <w:t xml:space="preserve"> felter</w:t>
      </w:r>
      <w:r>
        <w:rPr>
          <w:i/>
        </w:rPr>
        <w:t xml:space="preserve"> i faneblad 1 i Appendiks A</w:t>
      </w:r>
      <w:r w:rsidRPr="00B32EFF">
        <w:rPr>
          <w:i/>
        </w:rPr>
        <w:t xml:space="preserve"> skal udfyldes. Ud</w:t>
      </w:r>
      <w:r w:rsidRPr="00B32EFF">
        <w:rPr>
          <w:i/>
        </w:rPr>
        <w:t>e</w:t>
      </w:r>
      <w:r w:rsidRPr="00B32EFF">
        <w:rPr>
          <w:i/>
        </w:rPr>
        <w:t>står udfyldelse af et eller flere felter</w:t>
      </w:r>
      <w:r w:rsidR="009F3EDD">
        <w:rPr>
          <w:i/>
        </w:rPr>
        <w:t>,</w:t>
      </w:r>
      <w:r w:rsidRPr="00B32EFF">
        <w:rPr>
          <w:i/>
        </w:rPr>
        <w:t xml:space="preserve"> fortolkes det som at prisen i det pågældende felt er 0 ("nul") kr. 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>Tilbudsgiver bedes angive sit navn i toppen af regnearket</w:t>
      </w:r>
      <w:r>
        <w:rPr>
          <w:i/>
        </w:rPr>
        <w:t>s faneblad 1</w:t>
      </w:r>
      <w:r w:rsidRPr="00B32EFF">
        <w:rPr>
          <w:i/>
        </w:rPr>
        <w:t xml:space="preserve">, hvor dette er markeret. Med undtagelse af de felter, hvor </w:t>
      </w:r>
      <w:r w:rsidR="009F3EDD">
        <w:rPr>
          <w:i/>
        </w:rPr>
        <w:t>T</w:t>
      </w:r>
      <w:r w:rsidRPr="00B32EFF">
        <w:rPr>
          <w:i/>
        </w:rPr>
        <w:t xml:space="preserve">ilbudsgiver </w:t>
      </w:r>
      <w:r w:rsidR="00810830">
        <w:rPr>
          <w:i/>
        </w:rPr>
        <w:t xml:space="preserve">skal </w:t>
      </w:r>
      <w:r w:rsidRPr="00B32EFF">
        <w:rPr>
          <w:i/>
        </w:rPr>
        <w:t xml:space="preserve">navngive </w:t>
      </w:r>
      <w:r>
        <w:rPr>
          <w:i/>
        </w:rPr>
        <w:t>P</w:t>
      </w:r>
      <w:r w:rsidRPr="00B32EFF">
        <w:rPr>
          <w:i/>
        </w:rPr>
        <w:t>rogrammel, kan der herudover alene udfyldes med tal i regnearkets fane</w:t>
      </w:r>
      <w:r>
        <w:rPr>
          <w:i/>
        </w:rPr>
        <w:t>blad</w:t>
      </w:r>
      <w:r w:rsidRPr="00B32EFF">
        <w:rPr>
          <w:i/>
        </w:rPr>
        <w:t xml:space="preserve"> 1.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>
        <w:rPr>
          <w:i/>
        </w:rPr>
        <w:lastRenderedPageBreak/>
        <w:t>Strukturen i b</w:t>
      </w:r>
      <w:r w:rsidRPr="00B32EFF">
        <w:rPr>
          <w:i/>
        </w:rPr>
        <w:t>ilag</w:t>
      </w:r>
      <w:r>
        <w:rPr>
          <w:i/>
        </w:rPr>
        <w:t xml:space="preserve"> 12</w:t>
      </w:r>
      <w:r w:rsidRPr="00B32EFF">
        <w:rPr>
          <w:i/>
        </w:rPr>
        <w:t xml:space="preserve"> og tilhørende </w:t>
      </w:r>
      <w:r>
        <w:rPr>
          <w:i/>
        </w:rPr>
        <w:t>A</w:t>
      </w:r>
      <w:r w:rsidRPr="00B32EFF">
        <w:rPr>
          <w:i/>
        </w:rPr>
        <w:t>ppendiks A</w:t>
      </w:r>
      <w:r>
        <w:rPr>
          <w:i/>
        </w:rPr>
        <w:t xml:space="preserve"> udgør et </w:t>
      </w:r>
      <w:r w:rsidRPr="00B45B27">
        <w:rPr>
          <w:b/>
          <w:i/>
        </w:rPr>
        <w:t>mindstekrav</w:t>
      </w:r>
      <w:r>
        <w:rPr>
          <w:i/>
        </w:rPr>
        <w:t xml:space="preserve"> og</w:t>
      </w:r>
      <w:r w:rsidRPr="00B32EFF">
        <w:rPr>
          <w:i/>
        </w:rPr>
        <w:t xml:space="preserve"> må ikke æ</w:t>
      </w:r>
      <w:r w:rsidRPr="00B32EFF">
        <w:rPr>
          <w:i/>
        </w:rPr>
        <w:t>n</w:t>
      </w:r>
      <w:r w:rsidRPr="00B32EFF">
        <w:rPr>
          <w:i/>
        </w:rPr>
        <w:t xml:space="preserve">dres af </w:t>
      </w:r>
      <w:r w:rsidR="009F3EDD">
        <w:rPr>
          <w:i/>
        </w:rPr>
        <w:t>T</w:t>
      </w:r>
      <w:r w:rsidRPr="00B32EFF">
        <w:rPr>
          <w:i/>
        </w:rPr>
        <w:t>ilbudsgiver.</w:t>
      </w:r>
      <w:r>
        <w:rPr>
          <w:i/>
        </w:rPr>
        <w:t xml:space="preserve"> Tilbudsgiver må således ikke ændre, fjerne, supplere eller på anden hvis tilbyde eller angive andre priselementer end dem, der er reguleret i bilag 12 og angivet i bilag 12, Appendiks A.</w:t>
      </w:r>
      <w:r w:rsidRPr="00B32EFF">
        <w:rPr>
          <w:i/>
        </w:rPr>
        <w:t xml:space="preserve"> Tilbudsgiver må således ikke tilføje yderligere priser end forudsat i bilaget (jf. dog ovenfor vedr. detaljerede priselementer i </w:t>
      </w:r>
      <w:r>
        <w:rPr>
          <w:i/>
        </w:rPr>
        <w:t>A</w:t>
      </w:r>
      <w:r w:rsidRPr="00B32EFF">
        <w:rPr>
          <w:i/>
        </w:rPr>
        <w:t xml:space="preserve">ppendiks A) og den indeholdte vejledning eller supplere med yderligere beskrivelser. Tilbudsgiver må ligeledes ikke foretage præciseringer til bilaget. 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Tilbudsgiver skal </w:t>
      </w:r>
      <w:r>
        <w:rPr>
          <w:i/>
        </w:rPr>
        <w:t xml:space="preserve">derfor også </w:t>
      </w:r>
      <w:r w:rsidRPr="00B32EFF">
        <w:rPr>
          <w:i/>
        </w:rPr>
        <w:t>være opmærksom på, at tilføjelser eller ændringer kan udgøre grundlæggende elementer med den følge, at tilbuddet vil blive afvist som ukond</w:t>
      </w:r>
      <w:r w:rsidRPr="00B32EFF">
        <w:rPr>
          <w:i/>
        </w:rPr>
        <w:t>i</w:t>
      </w:r>
      <w:r w:rsidRPr="00B32EFF">
        <w:rPr>
          <w:i/>
        </w:rPr>
        <w:t>tionsmæssigt.</w:t>
      </w:r>
    </w:p>
    <w:p w:rsidR="00315156" w:rsidRPr="00B32EFF" w:rsidRDefault="00315156" w:rsidP="00315156">
      <w:pPr>
        <w:rPr>
          <w:i/>
        </w:rPr>
      </w:pPr>
    </w:p>
    <w:p w:rsidR="00315156" w:rsidRDefault="00315156" w:rsidP="00315156">
      <w:pPr>
        <w:rPr>
          <w:i/>
        </w:rPr>
      </w:pPr>
      <w:r w:rsidRPr="00B32EFF">
        <w:rPr>
          <w:i/>
        </w:rPr>
        <w:t xml:space="preserve">Nedenfor gennemgås de enkelte priselementer, der skal angives i </w:t>
      </w:r>
      <w:r>
        <w:rPr>
          <w:i/>
        </w:rPr>
        <w:t>A</w:t>
      </w:r>
      <w:r w:rsidRPr="00B32EFF">
        <w:rPr>
          <w:i/>
        </w:rPr>
        <w:t>ppendiks A</w:t>
      </w:r>
      <w:r>
        <w:rPr>
          <w:i/>
        </w:rPr>
        <w:t>.</w:t>
      </w:r>
      <w:r w:rsidRPr="00B32EFF">
        <w:rPr>
          <w:i/>
        </w:rPr>
        <w:t xml:space="preserve"> </w:t>
      </w:r>
    </w:p>
    <w:p w:rsidR="00810830" w:rsidRPr="00B32EFF" w:rsidRDefault="00810830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I </w:t>
      </w:r>
      <w:r>
        <w:rPr>
          <w:i/>
        </w:rPr>
        <w:t>A</w:t>
      </w:r>
      <w:r w:rsidRPr="00B32EFF">
        <w:rPr>
          <w:i/>
        </w:rPr>
        <w:t>ppendiks A, afsnit 3</w:t>
      </w:r>
      <w:r w:rsidR="009F3EDD">
        <w:rPr>
          <w:i/>
        </w:rPr>
        <w:t>,</w:t>
      </w:r>
      <w:r w:rsidRPr="00B32EFF">
        <w:rPr>
          <w:i/>
        </w:rPr>
        <w:t xml:space="preserve"> angives priserne på de enkelte delelementer, der udgør den sa</w:t>
      </w:r>
      <w:r w:rsidRPr="00B32EFF">
        <w:rPr>
          <w:i/>
        </w:rPr>
        <w:t>m</w:t>
      </w:r>
      <w:r w:rsidRPr="00B32EFF">
        <w:rPr>
          <w:i/>
        </w:rPr>
        <w:t xml:space="preserve">lede Leverance. Den består af gennemførelse af afklaringsfasen (afsnit </w:t>
      </w:r>
      <w:r w:rsidR="00BD225A" w:rsidRPr="00B32EFF">
        <w:rPr>
          <w:i/>
        </w:rPr>
        <w:fldChar w:fldCharType="begin"/>
      </w:r>
      <w:r w:rsidRPr="00B32EFF">
        <w:rPr>
          <w:i/>
        </w:rPr>
        <w:instrText xml:space="preserve"> REF _Ref275240729 \r \h </w:instrText>
      </w:r>
      <w:r w:rsidR="00BD225A" w:rsidRPr="00B32EFF">
        <w:rPr>
          <w:i/>
        </w:rPr>
      </w:r>
      <w:r w:rsidR="00BD225A" w:rsidRPr="00B32EFF">
        <w:rPr>
          <w:i/>
        </w:rPr>
        <w:fldChar w:fldCharType="separate"/>
      </w:r>
      <w:r w:rsidR="00CB24A9">
        <w:rPr>
          <w:i/>
        </w:rPr>
        <w:t>3.1</w:t>
      </w:r>
      <w:r w:rsidR="00BD225A" w:rsidRPr="00B32EFF">
        <w:rPr>
          <w:i/>
        </w:rPr>
        <w:fldChar w:fldCharType="end"/>
      </w:r>
      <w:r w:rsidRPr="00B32EFF">
        <w:rPr>
          <w:i/>
        </w:rPr>
        <w:t xml:space="preserve">), </w:t>
      </w:r>
      <w:r>
        <w:rPr>
          <w:i/>
        </w:rPr>
        <w:t>S</w:t>
      </w:r>
      <w:r w:rsidRPr="00B32EFF">
        <w:rPr>
          <w:i/>
        </w:rPr>
        <w:t>tandar</w:t>
      </w:r>
      <w:r w:rsidRPr="00B32EFF">
        <w:rPr>
          <w:i/>
        </w:rPr>
        <w:t>d</w:t>
      </w:r>
      <w:r w:rsidRPr="00B32EFF">
        <w:rPr>
          <w:i/>
        </w:rPr>
        <w:t xml:space="preserve">programmel (afsnit </w:t>
      </w:r>
      <w:r w:rsidR="00406787">
        <w:fldChar w:fldCharType="begin"/>
      </w:r>
      <w:r w:rsidR="00406787">
        <w:instrText xml:space="preserve"> REF _Ref275240734 \r \h  \* MERGEFORMAT </w:instrText>
      </w:r>
      <w:r w:rsidR="00406787">
        <w:fldChar w:fldCharType="separate"/>
      </w:r>
      <w:r w:rsidR="00CB24A9" w:rsidRPr="00CB24A9">
        <w:rPr>
          <w:i/>
        </w:rPr>
        <w:t>3.2</w:t>
      </w:r>
      <w:r w:rsidR="00406787">
        <w:fldChar w:fldCharType="end"/>
      </w:r>
      <w:r w:rsidRPr="00B32EFF">
        <w:t>)</w:t>
      </w:r>
      <w:r w:rsidRPr="00B32EFF">
        <w:rPr>
          <w:i/>
        </w:rPr>
        <w:t xml:space="preserve">, Kundespecifikt </w:t>
      </w:r>
      <w:r>
        <w:rPr>
          <w:i/>
        </w:rPr>
        <w:t>P</w:t>
      </w:r>
      <w:r w:rsidRPr="00B32EFF">
        <w:rPr>
          <w:i/>
        </w:rPr>
        <w:t xml:space="preserve">rogrammel (afsnit </w:t>
      </w:r>
      <w:r w:rsidR="00406787">
        <w:fldChar w:fldCharType="begin"/>
      </w:r>
      <w:r w:rsidR="00406787">
        <w:instrText xml:space="preserve"> REF _Ref275240742 \r \h  \* MERGEFORMAT </w:instrText>
      </w:r>
      <w:r w:rsidR="00406787">
        <w:fldChar w:fldCharType="separate"/>
      </w:r>
      <w:r w:rsidR="00CB24A9" w:rsidRPr="00CB24A9">
        <w:rPr>
          <w:i/>
        </w:rPr>
        <w:t>3.3</w:t>
      </w:r>
      <w:r w:rsidR="00406787">
        <w:fldChar w:fldCharType="end"/>
      </w:r>
      <w:r w:rsidRPr="00B32EFF">
        <w:t xml:space="preserve">), </w:t>
      </w:r>
      <w:r w:rsidRPr="00B32EFF">
        <w:rPr>
          <w:i/>
        </w:rPr>
        <w:t>Dokumentation</w:t>
      </w:r>
      <w:r w:rsidRPr="00B32EFF">
        <w:t xml:space="preserve"> </w:t>
      </w:r>
      <w:r w:rsidRPr="00B32EFF">
        <w:rPr>
          <w:i/>
        </w:rPr>
        <w:t xml:space="preserve">(afsnit </w:t>
      </w:r>
      <w:r w:rsidR="00406787">
        <w:fldChar w:fldCharType="begin"/>
      </w:r>
      <w:r w:rsidR="00406787">
        <w:instrText xml:space="preserve"> REF _Ref275240748 \r \h  \* MERGEFORMAT </w:instrText>
      </w:r>
      <w:r w:rsidR="00406787">
        <w:fldChar w:fldCharType="separate"/>
      </w:r>
      <w:r w:rsidR="00CB24A9" w:rsidRPr="00CB24A9">
        <w:rPr>
          <w:i/>
        </w:rPr>
        <w:t>3.4</w:t>
      </w:r>
      <w:r w:rsidR="00406787">
        <w:fldChar w:fldCharType="end"/>
      </w:r>
      <w:r w:rsidRPr="00B32EFF">
        <w:rPr>
          <w:i/>
        </w:rPr>
        <w:t>)</w:t>
      </w:r>
      <w:r w:rsidRPr="00B32EFF">
        <w:t xml:space="preserve"> og </w:t>
      </w:r>
      <w:r>
        <w:rPr>
          <w:i/>
        </w:rPr>
        <w:t>øvrige</w:t>
      </w:r>
      <w:r w:rsidRPr="00B32EFF">
        <w:rPr>
          <w:i/>
        </w:rPr>
        <w:t xml:space="preserve"> ydelser, herunder projektledelse, konsulentydelser og uddannelse (afsnit </w:t>
      </w:r>
      <w:r w:rsidR="00406787">
        <w:fldChar w:fldCharType="begin"/>
      </w:r>
      <w:r w:rsidR="00406787">
        <w:instrText xml:space="preserve"> REF _Ref275240756 \r \h  \* MERGEFORMAT </w:instrText>
      </w:r>
      <w:r w:rsidR="00406787">
        <w:fldChar w:fldCharType="separate"/>
      </w:r>
      <w:r w:rsidR="00CB24A9" w:rsidRPr="00CB24A9">
        <w:rPr>
          <w:i/>
        </w:rPr>
        <w:t>3.5</w:t>
      </w:r>
      <w:r w:rsidR="00406787">
        <w:fldChar w:fldCharType="end"/>
      </w:r>
      <w:r w:rsidRPr="00B32EFF">
        <w:t xml:space="preserve">). 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Tilbudsgiver skal foretage en individuel navngivning og prisfastsættelse af det </w:t>
      </w:r>
      <w:r>
        <w:rPr>
          <w:i/>
        </w:rPr>
        <w:t>P</w:t>
      </w:r>
      <w:r w:rsidRPr="00B32EFF">
        <w:rPr>
          <w:i/>
        </w:rPr>
        <w:t>r</w:t>
      </w:r>
      <w:r w:rsidRPr="00B32EFF">
        <w:rPr>
          <w:i/>
        </w:rPr>
        <w:t>o</w:t>
      </w:r>
      <w:r w:rsidRPr="00B32EFF">
        <w:rPr>
          <w:i/>
        </w:rPr>
        <w:t xml:space="preserve">grammel, der indgår i Leverancen. Det skal sikres, at navngivning af </w:t>
      </w:r>
      <w:r>
        <w:rPr>
          <w:i/>
        </w:rPr>
        <w:t>P</w:t>
      </w:r>
      <w:r w:rsidRPr="00B32EFF">
        <w:rPr>
          <w:i/>
        </w:rPr>
        <w:t xml:space="preserve">rogrammellet modsvarer det i bilag 3 og bilag 15 anførte, således at Kunden entydigt kan identificere </w:t>
      </w:r>
      <w:r>
        <w:rPr>
          <w:i/>
        </w:rPr>
        <w:t>P</w:t>
      </w:r>
      <w:r w:rsidRPr="00B32EFF">
        <w:rPr>
          <w:i/>
        </w:rPr>
        <w:t xml:space="preserve">rogrammellet. 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Tilbudsgiver skal angive </w:t>
      </w:r>
      <w:r>
        <w:rPr>
          <w:i/>
        </w:rPr>
        <w:t xml:space="preserve">sin generelle timepris for timebaserede ydelser i Appendiks A, afsnit </w:t>
      </w:r>
      <w:r w:rsidR="00BD225A">
        <w:rPr>
          <w:i/>
        </w:rPr>
        <w:fldChar w:fldCharType="begin"/>
      </w:r>
      <w:r>
        <w:rPr>
          <w:i/>
        </w:rPr>
        <w:instrText xml:space="preserve"> REF _Ref274747597 \r \h </w:instrText>
      </w:r>
      <w:r w:rsidR="00BD225A">
        <w:rPr>
          <w:i/>
        </w:rPr>
      </w:r>
      <w:r w:rsidR="00BD225A">
        <w:rPr>
          <w:i/>
        </w:rPr>
        <w:fldChar w:fldCharType="separate"/>
      </w:r>
      <w:r w:rsidR="00CB24A9">
        <w:rPr>
          <w:i/>
        </w:rPr>
        <w:t>4.2</w:t>
      </w:r>
      <w:r w:rsidR="00BD225A">
        <w:rPr>
          <w:i/>
        </w:rPr>
        <w:fldChar w:fldCharType="end"/>
      </w:r>
      <w:r w:rsidRPr="00B32EFF">
        <w:rPr>
          <w:i/>
        </w:rPr>
        <w:t>.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pPr>
        <w:rPr>
          <w:i/>
        </w:rPr>
      </w:pPr>
      <w:r w:rsidRPr="00B32EFF">
        <w:rPr>
          <w:i/>
        </w:rPr>
        <w:t xml:space="preserve">Tilbudsgiver skal i </w:t>
      </w:r>
      <w:r>
        <w:rPr>
          <w:i/>
        </w:rPr>
        <w:t>A</w:t>
      </w:r>
      <w:r w:rsidRPr="00B32EFF">
        <w:rPr>
          <w:i/>
        </w:rPr>
        <w:t>ppendiks A, afsnit</w:t>
      </w:r>
      <w:r>
        <w:rPr>
          <w:i/>
        </w:rPr>
        <w:t xml:space="preserve"> </w:t>
      </w:r>
      <w:r w:rsidR="00BD225A">
        <w:rPr>
          <w:i/>
        </w:rPr>
        <w:fldChar w:fldCharType="begin"/>
      </w:r>
      <w:r>
        <w:rPr>
          <w:i/>
        </w:rPr>
        <w:instrText xml:space="preserve"> REF _Ref275241268 \r \h </w:instrText>
      </w:r>
      <w:r w:rsidR="00BD225A">
        <w:rPr>
          <w:i/>
        </w:rPr>
      </w:r>
      <w:r w:rsidR="00BD225A">
        <w:rPr>
          <w:i/>
        </w:rPr>
        <w:fldChar w:fldCharType="separate"/>
      </w:r>
      <w:r w:rsidR="00CB24A9">
        <w:rPr>
          <w:i/>
        </w:rPr>
        <w:t>4.3</w:t>
      </w:r>
      <w:r w:rsidR="00BD225A">
        <w:rPr>
          <w:i/>
        </w:rPr>
        <w:fldChar w:fldCharType="end"/>
      </w:r>
      <w:r>
        <w:rPr>
          <w:i/>
        </w:rPr>
        <w:t>,</w:t>
      </w:r>
      <w:r w:rsidRPr="00B32EFF">
        <w:rPr>
          <w:i/>
        </w:rPr>
        <w:t xml:space="preserve"> angive én timepris for vedligeholdelsesarbe</w:t>
      </w:r>
      <w:r w:rsidRPr="00B32EFF">
        <w:rPr>
          <w:i/>
        </w:rPr>
        <w:t>j</w:t>
      </w:r>
      <w:r w:rsidRPr="00B32EFF">
        <w:rPr>
          <w:i/>
        </w:rPr>
        <w:t xml:space="preserve">der, herunder fejlafhjælpning uden for Kundens normale arbejdstid. </w:t>
      </w:r>
    </w:p>
    <w:p w:rsidR="00315156" w:rsidRPr="00B32EFF" w:rsidRDefault="00315156" w:rsidP="00315156">
      <w:pPr>
        <w:rPr>
          <w:i/>
        </w:rPr>
      </w:pPr>
    </w:p>
    <w:p w:rsidR="00315156" w:rsidRPr="00B32EFF" w:rsidRDefault="00315156" w:rsidP="00315156">
      <w:r w:rsidRPr="00B32EFF">
        <w:rPr>
          <w:i/>
        </w:rPr>
        <w:t xml:space="preserve">Tilbudsgiver skal i </w:t>
      </w:r>
      <w:r>
        <w:rPr>
          <w:i/>
        </w:rPr>
        <w:t>A</w:t>
      </w:r>
      <w:r w:rsidRPr="00B32EFF">
        <w:rPr>
          <w:i/>
        </w:rPr>
        <w:t xml:space="preserve">ppendiks A, afsnit </w:t>
      </w:r>
      <w:r w:rsidR="00BD225A" w:rsidRPr="00B32EFF">
        <w:rPr>
          <w:i/>
        </w:rPr>
        <w:fldChar w:fldCharType="begin"/>
      </w:r>
      <w:r w:rsidRPr="00B32EFF">
        <w:rPr>
          <w:i/>
        </w:rPr>
        <w:instrText xml:space="preserve"> REF _Ref288069323 \r \h </w:instrText>
      </w:r>
      <w:r w:rsidR="00BD225A" w:rsidRPr="00B32EFF">
        <w:rPr>
          <w:i/>
        </w:rPr>
      </w:r>
      <w:r w:rsidR="00BD225A" w:rsidRPr="00B32EFF">
        <w:rPr>
          <w:i/>
        </w:rPr>
        <w:fldChar w:fldCharType="separate"/>
      </w:r>
      <w:r w:rsidR="00CB24A9">
        <w:rPr>
          <w:i/>
        </w:rPr>
        <w:t>6</w:t>
      </w:r>
      <w:r w:rsidR="00BD225A" w:rsidRPr="00B32EFF">
        <w:rPr>
          <w:i/>
        </w:rPr>
        <w:fldChar w:fldCharType="end"/>
      </w:r>
      <w:r>
        <w:rPr>
          <w:i/>
        </w:rPr>
        <w:t>,</w:t>
      </w:r>
      <w:r w:rsidRPr="00B32EFF">
        <w:rPr>
          <w:i/>
        </w:rPr>
        <w:t xml:space="preserve"> angive sit vederlag knyttet til Kundens </w:t>
      </w:r>
      <w:proofErr w:type="spellStart"/>
      <w:r>
        <w:rPr>
          <w:i/>
        </w:rPr>
        <w:t>skal</w:t>
      </w:r>
      <w:r>
        <w:rPr>
          <w:i/>
        </w:rPr>
        <w:t>e</w:t>
      </w:r>
      <w:r>
        <w:rPr>
          <w:i/>
        </w:rPr>
        <w:t>ring</w:t>
      </w:r>
      <w:proofErr w:type="spellEnd"/>
      <w:r>
        <w:rPr>
          <w:i/>
        </w:rPr>
        <w:t xml:space="preserve"> af brugerantal</w:t>
      </w:r>
      <w:r w:rsidRPr="00B32EFF">
        <w:rPr>
          <w:i/>
        </w:rPr>
        <w:t>. Tilbudsgiver skal ligeledes indsætte det vederlag</w:t>
      </w:r>
      <w:r w:rsidR="009F3EDD">
        <w:rPr>
          <w:i/>
        </w:rPr>
        <w:t>,</w:t>
      </w:r>
      <w:r w:rsidRPr="00B32EFF">
        <w:rPr>
          <w:i/>
        </w:rPr>
        <w:t xml:space="preserve"> som vederlaget for vedligeholdelse maksimalt kan reduceres til</w:t>
      </w:r>
      <w:r w:rsidR="009F3EDD">
        <w:rPr>
          <w:i/>
        </w:rPr>
        <w:t>,</w:t>
      </w:r>
      <w:r w:rsidRPr="00B32EFF">
        <w:rPr>
          <w:i/>
        </w:rPr>
        <w:t xml:space="preserve"> uanset hvor mange brugere der reduceres. </w:t>
      </w:r>
    </w:p>
    <w:p w:rsidR="00315156" w:rsidRPr="00B32EFF" w:rsidRDefault="00315156" w:rsidP="00315156">
      <w:pPr>
        <w:rPr>
          <w:i/>
        </w:rPr>
      </w:pPr>
    </w:p>
    <w:p w:rsidR="00315156" w:rsidRDefault="00315156" w:rsidP="00315156">
      <w:pPr>
        <w:rPr>
          <w:i/>
        </w:rPr>
      </w:pPr>
      <w:r w:rsidRPr="00B32EFF">
        <w:rPr>
          <w:i/>
        </w:rPr>
        <w:t xml:space="preserve">I </w:t>
      </w:r>
      <w:r>
        <w:rPr>
          <w:i/>
        </w:rPr>
        <w:t>A</w:t>
      </w:r>
      <w:r w:rsidRPr="00B32EFF">
        <w:rPr>
          <w:i/>
        </w:rPr>
        <w:t xml:space="preserve">ppendiks A, afsnit </w:t>
      </w:r>
      <w:r w:rsidR="00BD225A" w:rsidRPr="00B32EFF">
        <w:rPr>
          <w:i/>
        </w:rPr>
        <w:fldChar w:fldCharType="begin"/>
      </w:r>
      <w:r w:rsidRPr="00B32EFF">
        <w:rPr>
          <w:i/>
        </w:rPr>
        <w:instrText xml:space="preserve"> REF _Ref275245560 \r \h </w:instrText>
      </w:r>
      <w:r w:rsidR="00BD225A" w:rsidRPr="00B32EFF">
        <w:rPr>
          <w:i/>
        </w:rPr>
      </w:r>
      <w:r w:rsidR="00BD225A" w:rsidRPr="00B32EFF">
        <w:rPr>
          <w:i/>
        </w:rPr>
        <w:fldChar w:fldCharType="separate"/>
      </w:r>
      <w:r w:rsidR="00CB24A9">
        <w:rPr>
          <w:i/>
        </w:rPr>
        <w:t>8</w:t>
      </w:r>
      <w:r w:rsidR="00BD225A" w:rsidRPr="00B32EFF">
        <w:rPr>
          <w:i/>
        </w:rPr>
        <w:fldChar w:fldCharType="end"/>
      </w:r>
      <w:r>
        <w:rPr>
          <w:i/>
        </w:rPr>
        <w:t>,</w:t>
      </w:r>
      <w:r w:rsidRPr="00B32EFF">
        <w:rPr>
          <w:i/>
        </w:rPr>
        <w:t xml:space="preserve"> skal tilbudsgiver prissætte de angivne </w:t>
      </w:r>
      <w:r>
        <w:rPr>
          <w:i/>
        </w:rPr>
        <w:t>O</w:t>
      </w:r>
      <w:r w:rsidRPr="00B32EFF">
        <w:rPr>
          <w:i/>
        </w:rPr>
        <w:t xml:space="preserve">ptioner. </w:t>
      </w:r>
    </w:p>
    <w:p w:rsidR="00810830" w:rsidRDefault="00810830" w:rsidP="00315156">
      <w:pPr>
        <w:rPr>
          <w:i/>
        </w:rPr>
      </w:pPr>
    </w:p>
    <w:p w:rsidR="00315156" w:rsidRPr="00B32EFF" w:rsidRDefault="00315156" w:rsidP="00315156">
      <w:r w:rsidRPr="00B32EFF">
        <w:rPr>
          <w:i/>
        </w:rPr>
        <w:t xml:space="preserve">Bilaget (den samlede tekniske pris) vurderes i overensstemmelse med underkriteriet </w:t>
      </w:r>
      <w:r w:rsidRPr="003548AA">
        <w:rPr>
          <w:i/>
        </w:rPr>
        <w:t>”Pris</w:t>
      </w:r>
      <w:r w:rsidRPr="00B32EFF">
        <w:rPr>
          <w:i/>
        </w:rPr>
        <w:t>”</w:t>
      </w:r>
      <w:r>
        <w:rPr>
          <w:i/>
        </w:rPr>
        <w:t xml:space="preserve"> som anført i udbudsbetingelserne afsnit 1</w:t>
      </w:r>
      <w:r w:rsidR="003548AA">
        <w:rPr>
          <w:i/>
        </w:rPr>
        <w:t>0.5</w:t>
      </w:r>
      <w:r w:rsidRPr="00B32EFF">
        <w:rPr>
          <w:i/>
        </w:rPr>
        <w:t xml:space="preserve">. </w:t>
      </w:r>
    </w:p>
    <w:p w:rsidR="00315156" w:rsidRPr="00315156" w:rsidRDefault="00315156" w:rsidP="00315156">
      <w:pPr>
        <w:pStyle w:val="Overskrift1"/>
      </w:pPr>
      <w:r w:rsidRPr="00B32EFF">
        <w:br w:type="page"/>
      </w:r>
      <w:bookmarkStart w:id="4" w:name="_Toc474176818"/>
      <w:bookmarkStart w:id="5" w:name="_Toc475698976"/>
      <w:r w:rsidRPr="00315156">
        <w:lastRenderedPageBreak/>
        <w:t>Indledning</w:t>
      </w:r>
      <w:bookmarkEnd w:id="4"/>
      <w:bookmarkEnd w:id="5"/>
    </w:p>
    <w:p w:rsidR="00315156" w:rsidRPr="00B32EFF" w:rsidRDefault="00315156" w:rsidP="00315156">
      <w:r w:rsidRPr="00B32EFF">
        <w:t xml:space="preserve">I dette bilag (bilag 12) </w:t>
      </w:r>
      <w:r>
        <w:t>angives henvisninger og vejledning til angivelse af pris i bilag 12, Appendiks A. I bilag 12, Appendiks A</w:t>
      </w:r>
      <w:r w:rsidR="007513F8">
        <w:t>,</w:t>
      </w:r>
      <w:r>
        <w:t xml:space="preserve"> er anført </w:t>
      </w:r>
      <w:r w:rsidRPr="00B32EFF">
        <w:t xml:space="preserve">priser for alle ydelser, der er omfattet af Kontrakten. </w:t>
      </w:r>
    </w:p>
    <w:p w:rsidR="00315156" w:rsidRPr="00B32EFF" w:rsidRDefault="00315156" w:rsidP="00315156"/>
    <w:p w:rsidR="00315156" w:rsidRPr="00315156" w:rsidRDefault="00315156" w:rsidP="00315156">
      <w:pPr>
        <w:pStyle w:val="Overskrift1"/>
      </w:pPr>
      <w:bookmarkStart w:id="6" w:name="_Ref275245514"/>
      <w:bookmarkStart w:id="7" w:name="_Toc474176819"/>
      <w:bookmarkStart w:id="8" w:name="_Toc475698977"/>
      <w:r w:rsidRPr="00315156">
        <w:t>Betalingsplan</w:t>
      </w:r>
      <w:bookmarkEnd w:id="6"/>
      <w:bookmarkEnd w:id="7"/>
      <w:bookmarkEnd w:id="8"/>
    </w:p>
    <w:p w:rsidR="00315156" w:rsidRPr="00B32EFF" w:rsidRDefault="00315156" w:rsidP="00315156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110"/>
      </w:tblGrid>
      <w:tr w:rsidR="00315156" w:rsidRPr="00B32EFF" w:rsidTr="003548AA">
        <w:trPr>
          <w:tblHeader/>
        </w:trPr>
        <w:tc>
          <w:tcPr>
            <w:tcW w:w="4395" w:type="dxa"/>
            <w:shd w:val="clear" w:color="auto" w:fill="C0C0C0"/>
          </w:tcPr>
          <w:p w:rsidR="00315156" w:rsidRPr="00B32EFF" w:rsidRDefault="00315156" w:rsidP="003548AA">
            <w:r w:rsidRPr="00B32EFF">
              <w:t>Betalingsudløsende aktivitet</w:t>
            </w:r>
          </w:p>
        </w:tc>
        <w:tc>
          <w:tcPr>
            <w:tcW w:w="4110" w:type="dxa"/>
            <w:shd w:val="clear" w:color="auto" w:fill="C0C0C0"/>
          </w:tcPr>
          <w:p w:rsidR="00315156" w:rsidRPr="00B32EFF" w:rsidRDefault="00315156" w:rsidP="003548AA">
            <w:r w:rsidRPr="00B32EFF">
              <w:t xml:space="preserve">% af </w:t>
            </w:r>
            <w:r>
              <w:t>L</w:t>
            </w:r>
            <w:r w:rsidRPr="00B32EFF">
              <w:t>everancevederlaget</w:t>
            </w:r>
          </w:p>
        </w:tc>
      </w:tr>
      <w:tr w:rsidR="00315156" w:rsidRPr="00B32EFF" w:rsidTr="003548AA">
        <w:tc>
          <w:tcPr>
            <w:tcW w:w="4395" w:type="dxa"/>
          </w:tcPr>
          <w:p w:rsidR="00315156" w:rsidRPr="00B32EFF" w:rsidRDefault="00315156" w:rsidP="003548AA">
            <w:r w:rsidRPr="00B32EFF">
              <w:t>Afslutning af afklaringsfasen</w:t>
            </w:r>
          </w:p>
        </w:tc>
        <w:tc>
          <w:tcPr>
            <w:tcW w:w="4110" w:type="dxa"/>
          </w:tcPr>
          <w:p w:rsidR="00315156" w:rsidRPr="00B32EFF" w:rsidRDefault="00315156" w:rsidP="003548AA">
            <w:r>
              <w:t>10</w:t>
            </w:r>
          </w:p>
        </w:tc>
      </w:tr>
      <w:tr w:rsidR="00315156" w:rsidRPr="00B32EFF" w:rsidTr="003548AA">
        <w:tc>
          <w:tcPr>
            <w:tcW w:w="4395" w:type="dxa"/>
          </w:tcPr>
          <w:p w:rsidR="00315156" w:rsidRPr="00B32EFF" w:rsidRDefault="00315156" w:rsidP="003548AA">
            <w:r w:rsidRPr="00B32EFF">
              <w:t xml:space="preserve">Godkendt </w:t>
            </w:r>
            <w:r>
              <w:t>funktionsprøve</w:t>
            </w:r>
            <w:r w:rsidRPr="00B32EFF">
              <w:t xml:space="preserve"> </w:t>
            </w:r>
          </w:p>
        </w:tc>
        <w:tc>
          <w:tcPr>
            <w:tcW w:w="4110" w:type="dxa"/>
          </w:tcPr>
          <w:p w:rsidR="00315156" w:rsidRPr="00B32EFF" w:rsidRDefault="00315156" w:rsidP="003548AA">
            <w:r>
              <w:t>20</w:t>
            </w:r>
          </w:p>
        </w:tc>
      </w:tr>
      <w:tr w:rsidR="00315156" w:rsidRPr="00B32EFF" w:rsidTr="003548AA">
        <w:tc>
          <w:tcPr>
            <w:tcW w:w="4395" w:type="dxa"/>
          </w:tcPr>
          <w:p w:rsidR="00315156" w:rsidRPr="00B32EFF" w:rsidRDefault="00315156" w:rsidP="003548AA">
            <w:r>
              <w:t>Godkendt ibrugtagningsprøve (overtagelse</w:t>
            </w:r>
            <w:r>
              <w:t>s</w:t>
            </w:r>
            <w:r>
              <w:t>prøve)</w:t>
            </w:r>
          </w:p>
        </w:tc>
        <w:tc>
          <w:tcPr>
            <w:tcW w:w="4110" w:type="dxa"/>
          </w:tcPr>
          <w:p w:rsidR="00315156" w:rsidRPr="00B32EFF" w:rsidRDefault="00315156" w:rsidP="003548AA">
            <w:r>
              <w:t>50</w:t>
            </w:r>
          </w:p>
        </w:tc>
      </w:tr>
      <w:tr w:rsidR="00315156" w:rsidRPr="00B32EFF" w:rsidTr="003548AA">
        <w:tc>
          <w:tcPr>
            <w:tcW w:w="4395" w:type="dxa"/>
          </w:tcPr>
          <w:p w:rsidR="00315156" w:rsidRDefault="00315156" w:rsidP="003548AA">
            <w:r>
              <w:t xml:space="preserve">Godkendt driftsprøve </w:t>
            </w:r>
          </w:p>
        </w:tc>
        <w:tc>
          <w:tcPr>
            <w:tcW w:w="4110" w:type="dxa"/>
          </w:tcPr>
          <w:p w:rsidR="00315156" w:rsidRPr="00B32EFF" w:rsidRDefault="00315156" w:rsidP="003548AA">
            <w:r>
              <w:t>20</w:t>
            </w:r>
          </w:p>
        </w:tc>
      </w:tr>
      <w:tr w:rsidR="00315156" w:rsidRPr="00B32EFF" w:rsidTr="003548AA">
        <w:tc>
          <w:tcPr>
            <w:tcW w:w="4395" w:type="dxa"/>
          </w:tcPr>
          <w:p w:rsidR="00315156" w:rsidRPr="00B32EFF" w:rsidRDefault="00315156" w:rsidP="003548AA">
            <w:r w:rsidRPr="00B32EFF">
              <w:rPr>
                <w:b/>
              </w:rPr>
              <w:t>I alt</w:t>
            </w:r>
          </w:p>
        </w:tc>
        <w:tc>
          <w:tcPr>
            <w:tcW w:w="4110" w:type="dxa"/>
          </w:tcPr>
          <w:p w:rsidR="00315156" w:rsidRPr="00B32EFF" w:rsidRDefault="00315156" w:rsidP="003548AA">
            <w:r w:rsidRPr="00B32EFF">
              <w:rPr>
                <w:b/>
              </w:rPr>
              <w:t>100 %</w:t>
            </w:r>
          </w:p>
        </w:tc>
      </w:tr>
    </w:tbl>
    <w:p w:rsidR="00315156" w:rsidRPr="00B32EFF" w:rsidRDefault="00315156" w:rsidP="00315156"/>
    <w:p w:rsidR="00315156" w:rsidRPr="00315156" w:rsidRDefault="00315156" w:rsidP="00315156">
      <w:pPr>
        <w:pStyle w:val="Overskrift1"/>
      </w:pPr>
      <w:bookmarkStart w:id="9" w:name="_Ref275245843"/>
      <w:bookmarkStart w:id="10" w:name="_Toc474176820"/>
      <w:bookmarkStart w:id="11" w:name="_Toc475698978"/>
      <w:r w:rsidRPr="00315156">
        <w:t>Leverancevederlag</w:t>
      </w:r>
      <w:bookmarkEnd w:id="9"/>
      <w:bookmarkEnd w:id="10"/>
      <w:bookmarkEnd w:id="11"/>
    </w:p>
    <w:p w:rsidR="00315156" w:rsidRPr="00B32EFF" w:rsidRDefault="00315156" w:rsidP="00315156">
      <w:r w:rsidRPr="00B32EFF">
        <w:t>Leverancevederlaget opgøres i overensstemmelse med Kontraktens punkt 14.2 og består af nedenstående poster.</w:t>
      </w:r>
    </w:p>
    <w:p w:rsidR="00315156" w:rsidRPr="00B32EFF" w:rsidRDefault="00315156" w:rsidP="003151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315156" w:rsidRPr="00B32EFF" w:rsidTr="003548AA">
        <w:tc>
          <w:tcPr>
            <w:tcW w:w="5778" w:type="dxa"/>
            <w:shd w:val="clear" w:color="auto" w:fill="BFBFBF"/>
          </w:tcPr>
          <w:p w:rsidR="00315156" w:rsidRPr="00B32EFF" w:rsidRDefault="00315156" w:rsidP="003548AA">
            <w:pPr>
              <w:rPr>
                <w:b/>
              </w:rPr>
            </w:pPr>
            <w:r w:rsidRPr="00B32EFF">
              <w:rPr>
                <w:b/>
              </w:rPr>
              <w:t>Poster</w:t>
            </w:r>
          </w:p>
        </w:tc>
      </w:tr>
      <w:tr w:rsidR="00315156" w:rsidRPr="002B02D7" w:rsidTr="003548AA">
        <w:tc>
          <w:tcPr>
            <w:tcW w:w="5778" w:type="dxa"/>
          </w:tcPr>
          <w:p w:rsidR="00315156" w:rsidRPr="00B32EFF" w:rsidRDefault="00315156" w:rsidP="003548AA">
            <w:r w:rsidRPr="00B32EFF">
              <w:t xml:space="preserve">Vederlag for gennemførelse af </w:t>
            </w:r>
            <w:r>
              <w:t>a</w:t>
            </w:r>
            <w:r w:rsidRPr="00B32EFF">
              <w:t xml:space="preserve">fklaringsfasen, jf. afsnit </w:t>
            </w:r>
            <w:r w:rsidR="00BD225A" w:rsidRPr="00B32EFF">
              <w:fldChar w:fldCharType="begin"/>
            </w:r>
            <w:r w:rsidRPr="00B32EFF">
              <w:instrText xml:space="preserve"> REF _Ref275240729 \r \h </w:instrText>
            </w:r>
            <w:r w:rsidR="00BD225A" w:rsidRPr="00B32EFF">
              <w:fldChar w:fldCharType="separate"/>
            </w:r>
            <w:r w:rsidR="00CB24A9">
              <w:t>3.1</w:t>
            </w:r>
            <w:r w:rsidR="00BD225A" w:rsidRPr="00B32EFF">
              <w:fldChar w:fldCharType="end"/>
            </w:r>
          </w:p>
        </w:tc>
      </w:tr>
      <w:tr w:rsidR="00315156" w:rsidRPr="00B32EFF" w:rsidTr="003548AA">
        <w:tc>
          <w:tcPr>
            <w:tcW w:w="5778" w:type="dxa"/>
          </w:tcPr>
          <w:p w:rsidR="00315156" w:rsidRPr="00B32EFF" w:rsidRDefault="00315156" w:rsidP="003548AA">
            <w:r w:rsidRPr="00B32EFF">
              <w:t xml:space="preserve">Standardprogrammel, jf. afsnit </w:t>
            </w:r>
            <w:r w:rsidR="00BD225A" w:rsidRPr="00B32EFF">
              <w:fldChar w:fldCharType="begin"/>
            </w:r>
            <w:r w:rsidRPr="00B32EFF">
              <w:instrText xml:space="preserve"> REF _Ref275240734 \r \h </w:instrText>
            </w:r>
            <w:r w:rsidR="00BD225A" w:rsidRPr="00B32EFF">
              <w:fldChar w:fldCharType="separate"/>
            </w:r>
            <w:r w:rsidR="00CB24A9">
              <w:t>3.2</w:t>
            </w:r>
            <w:r w:rsidR="00BD225A" w:rsidRPr="00B32EFF">
              <w:fldChar w:fldCharType="end"/>
            </w:r>
          </w:p>
        </w:tc>
      </w:tr>
      <w:tr w:rsidR="00315156" w:rsidRPr="00B32EFF" w:rsidTr="003548AA">
        <w:tc>
          <w:tcPr>
            <w:tcW w:w="5778" w:type="dxa"/>
          </w:tcPr>
          <w:p w:rsidR="00315156" w:rsidRPr="00B32EFF" w:rsidRDefault="00315156" w:rsidP="003548AA">
            <w:r w:rsidRPr="00B32EFF">
              <w:t xml:space="preserve">Kundespecifikt </w:t>
            </w:r>
            <w:r>
              <w:t>P</w:t>
            </w:r>
            <w:r w:rsidRPr="00B32EFF">
              <w:t xml:space="preserve">rogrammel, jf. afsnit </w:t>
            </w:r>
            <w:r w:rsidR="00BD225A" w:rsidRPr="00B32EFF">
              <w:fldChar w:fldCharType="begin"/>
            </w:r>
            <w:r w:rsidRPr="00B32EFF">
              <w:instrText xml:space="preserve"> REF _Ref275240742 \r \h </w:instrText>
            </w:r>
            <w:r w:rsidR="00BD225A" w:rsidRPr="00B32EFF">
              <w:fldChar w:fldCharType="separate"/>
            </w:r>
            <w:r w:rsidR="00CB24A9">
              <w:t>3.3</w:t>
            </w:r>
            <w:r w:rsidR="00BD225A" w:rsidRPr="00B32EFF">
              <w:fldChar w:fldCharType="end"/>
            </w:r>
          </w:p>
        </w:tc>
      </w:tr>
      <w:tr w:rsidR="00315156" w:rsidRPr="00B32EFF" w:rsidTr="003548AA">
        <w:tc>
          <w:tcPr>
            <w:tcW w:w="5778" w:type="dxa"/>
          </w:tcPr>
          <w:p w:rsidR="00315156" w:rsidRPr="00B32EFF" w:rsidRDefault="00315156" w:rsidP="003548AA">
            <w:r w:rsidRPr="00B32EFF">
              <w:t xml:space="preserve">Dokumentation, jf. afsnit </w:t>
            </w:r>
            <w:r w:rsidR="00BD225A" w:rsidRPr="00B32EFF">
              <w:fldChar w:fldCharType="begin"/>
            </w:r>
            <w:r w:rsidRPr="00B32EFF">
              <w:instrText xml:space="preserve"> REF _Ref275240748 \r \h </w:instrText>
            </w:r>
            <w:r w:rsidR="00BD225A" w:rsidRPr="00B32EFF">
              <w:fldChar w:fldCharType="separate"/>
            </w:r>
            <w:r w:rsidR="00CB24A9">
              <w:t>3.4</w:t>
            </w:r>
            <w:r w:rsidR="00BD225A" w:rsidRPr="00B32EFF">
              <w:fldChar w:fldCharType="end"/>
            </w:r>
          </w:p>
        </w:tc>
      </w:tr>
      <w:tr w:rsidR="00315156" w:rsidRPr="002B02D7" w:rsidTr="003548AA">
        <w:tc>
          <w:tcPr>
            <w:tcW w:w="5778" w:type="dxa"/>
          </w:tcPr>
          <w:p w:rsidR="00315156" w:rsidRPr="00B32EFF" w:rsidRDefault="00315156" w:rsidP="003548AA">
            <w:r w:rsidRPr="00B32EFF">
              <w:t>Øvrige ydelser</w:t>
            </w:r>
            <w:r w:rsidR="007513F8">
              <w:t>,</w:t>
            </w:r>
            <w:r w:rsidRPr="00B32EFF">
              <w:t xml:space="preserve"> der indgår i </w:t>
            </w:r>
            <w:r>
              <w:t>L</w:t>
            </w:r>
            <w:r w:rsidRPr="00B32EFF">
              <w:t xml:space="preserve">everancen, jf. afsnit </w:t>
            </w:r>
            <w:r w:rsidR="00BD225A" w:rsidRPr="00B32EFF">
              <w:fldChar w:fldCharType="begin"/>
            </w:r>
            <w:r w:rsidRPr="00B32EFF">
              <w:instrText xml:space="preserve"> REF _Ref275240756 \r \h </w:instrText>
            </w:r>
            <w:r w:rsidR="00BD225A" w:rsidRPr="00B32EFF">
              <w:fldChar w:fldCharType="separate"/>
            </w:r>
            <w:r w:rsidR="00CB24A9">
              <w:t>3.5</w:t>
            </w:r>
            <w:r w:rsidR="00BD225A" w:rsidRPr="00B32EFF">
              <w:fldChar w:fldCharType="end"/>
            </w:r>
          </w:p>
        </w:tc>
      </w:tr>
      <w:tr w:rsidR="00315156" w:rsidRPr="00B32EFF" w:rsidTr="003548AA">
        <w:tc>
          <w:tcPr>
            <w:tcW w:w="5778" w:type="dxa"/>
            <w:shd w:val="clear" w:color="auto" w:fill="FFFFFF"/>
          </w:tcPr>
          <w:p w:rsidR="00315156" w:rsidRPr="00B32EFF" w:rsidRDefault="00315156" w:rsidP="003548AA">
            <w:r w:rsidRPr="00B32EFF">
              <w:t xml:space="preserve">Leverancevederlaget i alt </w:t>
            </w:r>
          </w:p>
        </w:tc>
      </w:tr>
    </w:tbl>
    <w:p w:rsidR="00315156" w:rsidRPr="00B32EFF" w:rsidRDefault="00315156" w:rsidP="00315156"/>
    <w:p w:rsidR="00315156" w:rsidRPr="00B32EFF" w:rsidRDefault="00315156" w:rsidP="00315156"/>
    <w:p w:rsidR="00315156" w:rsidRPr="00B32EFF" w:rsidRDefault="00315156" w:rsidP="00315156">
      <w:r w:rsidRPr="00B32EFF">
        <w:t>Hertil kommer vederlag for ændringer samt Optioner, der skal leveres som en del af L</w:t>
      </w:r>
      <w:r w:rsidRPr="00B32EFF">
        <w:t>e</w:t>
      </w:r>
      <w:r w:rsidRPr="00B32EFF">
        <w:t>verancen på Overtagelsesdagen.</w:t>
      </w:r>
    </w:p>
    <w:p w:rsidR="00315156" w:rsidRPr="00B32EFF" w:rsidRDefault="00315156" w:rsidP="00315156"/>
    <w:p w:rsidR="00315156" w:rsidRPr="00B32EFF" w:rsidRDefault="00315156" w:rsidP="00315156">
      <w:r w:rsidRPr="00B32EFF">
        <w:t>Leverancevederlaget omfatter i overensstemmelse med Kontraktens punkt 14.2 ikke løbende betalinger, herunder timebaserede vederlag, jf.</w:t>
      </w:r>
      <w:r>
        <w:t xml:space="preserve"> nedenfor</w:t>
      </w:r>
      <w:r w:rsidRPr="00B32EFF">
        <w:t xml:space="preserve"> afsnit </w:t>
      </w:r>
      <w:r w:rsidR="00BD225A" w:rsidRPr="00B32EFF">
        <w:fldChar w:fldCharType="begin"/>
      </w:r>
      <w:r w:rsidRPr="00B32EFF">
        <w:instrText xml:space="preserve"> REF _Ref275242386 \r \h </w:instrText>
      </w:r>
      <w:r w:rsidR="00BD225A" w:rsidRPr="00B32EFF">
        <w:fldChar w:fldCharType="separate"/>
      </w:r>
      <w:r w:rsidR="00CB24A9">
        <w:t>4</w:t>
      </w:r>
      <w:r w:rsidR="00BD225A" w:rsidRPr="00B32EFF">
        <w:fldChar w:fldCharType="end"/>
      </w:r>
      <w:r w:rsidRPr="00B32EFF">
        <w:t xml:space="preserve">, vederlag for vedligeholdelse, herunder support og løbende betalinger for anvendelse af </w:t>
      </w:r>
      <w:r>
        <w:t>P</w:t>
      </w:r>
      <w:r w:rsidRPr="00B32EFF">
        <w:t xml:space="preserve">rogrammel, jf. </w:t>
      </w:r>
      <w:r>
        <w:t xml:space="preserve">nedenfor </w:t>
      </w:r>
      <w:r w:rsidRPr="00B32EFF">
        <w:t xml:space="preserve">afsnit </w:t>
      </w:r>
      <w:r w:rsidR="00BD225A" w:rsidRPr="00B32EFF">
        <w:fldChar w:fldCharType="begin"/>
      </w:r>
      <w:r w:rsidRPr="00B32EFF">
        <w:instrText xml:space="preserve"> REF _Ref275246988 \r \h </w:instrText>
      </w:r>
      <w:r w:rsidR="00BD225A" w:rsidRPr="00B32EFF">
        <w:fldChar w:fldCharType="separate"/>
      </w:r>
      <w:r w:rsidR="00CB24A9">
        <w:t>5</w:t>
      </w:r>
      <w:r w:rsidR="00BD225A" w:rsidRPr="00B32EFF">
        <w:fldChar w:fldCharType="end"/>
      </w:r>
      <w:r w:rsidRPr="00B32EFF">
        <w:t>.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12" w:name="_Ref275240729"/>
      <w:bookmarkStart w:id="13" w:name="_Toc474176821"/>
      <w:bookmarkStart w:id="14" w:name="_Toc475698979"/>
      <w:r w:rsidRPr="00315156">
        <w:t>Vederlag for gennemførelse af afklaringsfasen</w:t>
      </w:r>
      <w:bookmarkEnd w:id="12"/>
      <w:bookmarkEnd w:id="13"/>
      <w:bookmarkEnd w:id="14"/>
    </w:p>
    <w:p w:rsidR="00315156" w:rsidRDefault="00315156" w:rsidP="00315156"/>
    <w:p w:rsidR="00315156" w:rsidRPr="00B32EFF" w:rsidRDefault="00315156" w:rsidP="00315156">
      <w:r w:rsidRPr="00B32EFF">
        <w:t>Den samlede pris for gennemførelse af afklaringsfase</w:t>
      </w:r>
      <w:r>
        <w:t>n fremgår af bilag 12, Appendiks A, punkt 3.1.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15" w:name="_Ref275240734"/>
      <w:bookmarkStart w:id="16" w:name="_Toc474176822"/>
      <w:bookmarkStart w:id="17" w:name="_Toc475698980"/>
      <w:r w:rsidRPr="00315156">
        <w:lastRenderedPageBreak/>
        <w:t>Standardprogrammel</w:t>
      </w:r>
      <w:bookmarkEnd w:id="15"/>
      <w:bookmarkEnd w:id="16"/>
      <w:bookmarkEnd w:id="17"/>
    </w:p>
    <w:p w:rsidR="00315156" w:rsidRDefault="00315156" w:rsidP="00315156"/>
    <w:p w:rsidR="00315156" w:rsidRPr="00B32EFF" w:rsidRDefault="00315156" w:rsidP="00315156">
      <w:r>
        <w:t>Det S</w:t>
      </w:r>
      <w:r w:rsidRPr="00B32EFF">
        <w:t>tandardprogrammel</w:t>
      </w:r>
      <w:r>
        <w:t>,</w:t>
      </w:r>
      <w:r w:rsidRPr="00B32EFF">
        <w:t xml:space="preserve"> </w:t>
      </w:r>
      <w:r>
        <w:t xml:space="preserve">der </w:t>
      </w:r>
      <w:r w:rsidRPr="00B32EFF">
        <w:t>er omfattet af Leverancen</w:t>
      </w:r>
      <w:r>
        <w:t>, samt pris herfor,</w:t>
      </w:r>
      <w:r w:rsidRPr="00B32EFF">
        <w:t xml:space="preserve"> </w:t>
      </w:r>
      <w:r>
        <w:t>fremgår af bilag 12, Appendiks A, punkt 3.2.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18" w:name="_Ref275240742"/>
      <w:bookmarkStart w:id="19" w:name="_Toc474176823"/>
      <w:bookmarkStart w:id="20" w:name="_Toc475698981"/>
      <w:r w:rsidRPr="00315156">
        <w:t>Kundespecifikt Programmel</w:t>
      </w:r>
      <w:bookmarkEnd w:id="18"/>
      <w:bookmarkEnd w:id="19"/>
      <w:bookmarkEnd w:id="20"/>
    </w:p>
    <w:p w:rsidR="00315156" w:rsidRDefault="00315156" w:rsidP="00315156"/>
    <w:p w:rsidR="00315156" w:rsidRPr="00B32EFF" w:rsidRDefault="00315156" w:rsidP="00315156">
      <w:r w:rsidRPr="00B32EFF">
        <w:t xml:space="preserve">Den samlede pris for Kundespecifikt </w:t>
      </w:r>
      <w:r>
        <w:t>P</w:t>
      </w:r>
      <w:r w:rsidRPr="00B32EFF">
        <w:t xml:space="preserve">rogrammel omfattet af Leverancen er angivet </w:t>
      </w:r>
      <w:r>
        <w:t>i bilag 12, Appendiks A, punkt 3.3.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21" w:name="_Ref275240748"/>
      <w:bookmarkStart w:id="22" w:name="_Toc474176824"/>
      <w:bookmarkStart w:id="23" w:name="_Toc475698982"/>
      <w:r w:rsidRPr="00315156">
        <w:t>Dokumentation</w:t>
      </w:r>
      <w:bookmarkEnd w:id="21"/>
      <w:bookmarkEnd w:id="22"/>
      <w:bookmarkEnd w:id="23"/>
    </w:p>
    <w:p w:rsidR="00315156" w:rsidRDefault="00315156" w:rsidP="00315156"/>
    <w:p w:rsidR="00315156" w:rsidRPr="00B32EFF" w:rsidRDefault="00315156" w:rsidP="00315156">
      <w:r w:rsidRPr="00B32EFF">
        <w:t xml:space="preserve">Vederlaget for den i bilag 4 beskrevne Dokumentation </w:t>
      </w:r>
      <w:r>
        <w:t>fremgår af bilag 12, Appendiks A, punkt 3.4.</w:t>
      </w:r>
      <w:r w:rsidRPr="00B32EFF">
        <w:t xml:space="preserve"> 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24" w:name="_Ref275240756"/>
      <w:bookmarkStart w:id="25" w:name="_Toc474176825"/>
      <w:bookmarkStart w:id="26" w:name="_Toc475698983"/>
      <w:r w:rsidRPr="00315156">
        <w:t>Øvrige ydelser</w:t>
      </w:r>
      <w:bookmarkEnd w:id="24"/>
      <w:bookmarkEnd w:id="25"/>
      <w:bookmarkEnd w:id="26"/>
    </w:p>
    <w:p w:rsidR="00315156" w:rsidRDefault="00315156" w:rsidP="00315156"/>
    <w:p w:rsidR="00315156" w:rsidRPr="00B32EFF" w:rsidRDefault="00315156" w:rsidP="00315156">
      <w:r w:rsidRPr="00B32EFF">
        <w:t>Vederlaget for øvrige ydelser, der indgår i Leverancen</w:t>
      </w:r>
      <w:r>
        <w:t>,</w:t>
      </w:r>
      <w:r w:rsidRPr="00B32EFF">
        <w:t xml:space="preserve"> </w:t>
      </w:r>
      <w:r>
        <w:t xml:space="preserve">fremgår af bilag 12, Appendiks A, punkt 3.5. </w:t>
      </w:r>
    </w:p>
    <w:p w:rsidR="00315156" w:rsidRPr="00B32EFF" w:rsidRDefault="00315156" w:rsidP="00315156"/>
    <w:p w:rsidR="00315156" w:rsidRPr="00315156" w:rsidRDefault="00315156" w:rsidP="00315156">
      <w:pPr>
        <w:pStyle w:val="Overskrift1"/>
      </w:pPr>
      <w:bookmarkStart w:id="27" w:name="_Ref275242386"/>
      <w:bookmarkStart w:id="28" w:name="_Toc474176826"/>
      <w:bookmarkStart w:id="29" w:name="_Toc475698984"/>
      <w:r w:rsidRPr="00315156">
        <w:t>Timebaserede vederlag</w:t>
      </w:r>
      <w:bookmarkEnd w:id="27"/>
      <w:bookmarkEnd w:id="28"/>
      <w:bookmarkEnd w:id="29"/>
    </w:p>
    <w:p w:rsidR="00315156" w:rsidRPr="00315156" w:rsidRDefault="00315156" w:rsidP="00315156">
      <w:pPr>
        <w:pStyle w:val="Overskrift2"/>
      </w:pPr>
      <w:bookmarkStart w:id="30" w:name="_Toc474176827"/>
      <w:bookmarkStart w:id="31" w:name="_Toc475698985"/>
      <w:r w:rsidRPr="00315156">
        <w:t>Indledning</w:t>
      </w:r>
      <w:bookmarkEnd w:id="30"/>
      <w:bookmarkEnd w:id="31"/>
    </w:p>
    <w:p w:rsidR="00315156" w:rsidRDefault="00315156" w:rsidP="00315156"/>
    <w:p w:rsidR="00315156" w:rsidRPr="00B32EFF" w:rsidRDefault="00315156" w:rsidP="00315156">
      <w:r>
        <w:t xml:space="preserve">Timeprisen </w:t>
      </w:r>
      <w:r w:rsidRPr="00B32EFF">
        <w:t>for ydelser, som vederlægges på grundlag af medgået tid</w:t>
      </w:r>
      <w:r w:rsidR="007513F8">
        <w:t>,</w:t>
      </w:r>
      <w:r w:rsidRPr="00B32EFF">
        <w:t xml:space="preserve"> fremgår af</w:t>
      </w:r>
      <w:r>
        <w:t xml:space="preserve"> bilag 12, Appendiks A, punkt </w:t>
      </w:r>
      <w:r w:rsidR="00BD225A">
        <w:fldChar w:fldCharType="begin"/>
      </w:r>
      <w:r>
        <w:instrText xml:space="preserve"> REF _Ref274747597 \r \h </w:instrText>
      </w:r>
      <w:r w:rsidR="00BD225A">
        <w:fldChar w:fldCharType="separate"/>
      </w:r>
      <w:r w:rsidR="00CB24A9">
        <w:t>4.2</w:t>
      </w:r>
      <w:r w:rsidR="00BD225A">
        <w:fldChar w:fldCharType="end"/>
      </w:r>
      <w:r>
        <w:t xml:space="preserve"> og punkt </w:t>
      </w:r>
      <w:r w:rsidR="00BD225A">
        <w:fldChar w:fldCharType="begin"/>
      </w:r>
      <w:r>
        <w:instrText xml:space="preserve"> REF _Ref275241268 \r \h </w:instrText>
      </w:r>
      <w:r w:rsidR="00BD225A">
        <w:fldChar w:fldCharType="separate"/>
      </w:r>
      <w:r w:rsidR="00CB24A9">
        <w:t>4.3</w:t>
      </w:r>
      <w:r w:rsidR="00BD225A">
        <w:fldChar w:fldCharType="end"/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32" w:name="_Ref274747597"/>
      <w:bookmarkStart w:id="33" w:name="_Toc474176828"/>
      <w:bookmarkStart w:id="34" w:name="_Toc475698986"/>
      <w:r w:rsidRPr="00315156">
        <w:t>Generel timepris</w:t>
      </w:r>
      <w:bookmarkEnd w:id="32"/>
      <w:bookmarkEnd w:id="33"/>
      <w:bookmarkEnd w:id="34"/>
    </w:p>
    <w:p w:rsidR="00315156" w:rsidRDefault="00315156" w:rsidP="00315156"/>
    <w:p w:rsidR="00315156" w:rsidRDefault="00315156" w:rsidP="00315156">
      <w:r w:rsidRPr="00B32EFF">
        <w:t>Leverandørens pris for timebaserede ydelser i Kontraktperioden fremgår af</w:t>
      </w:r>
      <w:r>
        <w:t xml:space="preserve"> bilag 12, Appendiks A, punkt 4.3</w:t>
      </w:r>
      <w:r w:rsidRPr="00B32EFF">
        <w:t xml:space="preserve">. </w:t>
      </w:r>
      <w:r>
        <w:t>Den af Leverandøren afgivne timepris dækker alle timebaser</w:t>
      </w:r>
      <w:r>
        <w:t>e</w:t>
      </w:r>
      <w:r>
        <w:t>de ydelser</w:t>
      </w:r>
      <w:r w:rsidR="007513F8">
        <w:t>,</w:t>
      </w:r>
      <w:r>
        <w:t xml:space="preserve"> uanset hvilken opgavetype (baseret på </w:t>
      </w:r>
      <w:proofErr w:type="spellStart"/>
      <w:r>
        <w:t>flat</w:t>
      </w:r>
      <w:proofErr w:type="spellEnd"/>
      <w:r>
        <w:t xml:space="preserve"> rate</w:t>
      </w:r>
      <w:r w:rsidR="007513F8">
        <w:t>-</w:t>
      </w:r>
      <w:r>
        <w:t>princippet)</w:t>
      </w:r>
    </w:p>
    <w:p w:rsidR="00315156" w:rsidRDefault="00315156" w:rsidP="00315156"/>
    <w:p w:rsidR="00315156" w:rsidRPr="00B32EFF" w:rsidRDefault="00315156" w:rsidP="00315156">
      <w:r w:rsidRPr="00B32EFF">
        <w:t>Timebaserede ydelser omfatter f.eks. konsulent- og udviklingsbistand i forbindelse med</w:t>
      </w:r>
      <w:r>
        <w:t xml:space="preserve"> bistand til opsætning og tilretning af puljer,</w:t>
      </w:r>
      <w:r w:rsidRPr="00B32EFF">
        <w:t xml:space="preserve"> videreudvikling</w:t>
      </w:r>
      <w:r>
        <w:t xml:space="preserve"> (medmindre Parterne har aftalt en fast pris)</w:t>
      </w:r>
      <w:r w:rsidRPr="00B32EFF">
        <w:t xml:space="preserve"> samt fejlretning, der ikke er omfattet af vedligeholdelsesordningen. 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35" w:name="_Ref275241268"/>
      <w:bookmarkStart w:id="36" w:name="_Toc474176829"/>
      <w:bookmarkStart w:id="37" w:name="_Toc475698987"/>
      <w:r w:rsidRPr="00315156">
        <w:t>Timepriser for vedligeholdelsesarbejder uden for normal arbejdstid</w:t>
      </w:r>
      <w:bookmarkEnd w:id="35"/>
      <w:bookmarkEnd w:id="36"/>
      <w:bookmarkEnd w:id="37"/>
    </w:p>
    <w:p w:rsidR="00315156" w:rsidRDefault="00315156" w:rsidP="00315156"/>
    <w:p w:rsidR="00315156" w:rsidRPr="00B32EFF" w:rsidRDefault="00315156" w:rsidP="00315156">
      <w:r w:rsidRPr="00B32EFF">
        <w:t>Hvis Kunden foretager særskilt bestilling af vedligeholdelsesarbejder, herunder fejla</w:t>
      </w:r>
      <w:r w:rsidRPr="00B32EFF">
        <w:t>f</w:t>
      </w:r>
      <w:r w:rsidRPr="00B32EFF">
        <w:t>hjælpning, uden for normal arbejdstid, jf. Kontraktens punkt 11.3</w:t>
      </w:r>
      <w:r>
        <w:t>,</w:t>
      </w:r>
      <w:r w:rsidRPr="00B32EFF">
        <w:t xml:space="preserve"> opgøres vederlaget på baggrund af </w:t>
      </w:r>
      <w:r>
        <w:t>prisen anført i bilag 12, Appendiks A, punkt 4.4.</w:t>
      </w:r>
    </w:p>
    <w:p w:rsidR="00315156" w:rsidRPr="00B32EFF" w:rsidRDefault="00315156" w:rsidP="00315156"/>
    <w:p w:rsidR="00315156" w:rsidRPr="00315156" w:rsidRDefault="00315156" w:rsidP="00315156">
      <w:pPr>
        <w:pStyle w:val="Overskrift1"/>
      </w:pPr>
      <w:bookmarkStart w:id="38" w:name="_Ref275246988"/>
      <w:bookmarkStart w:id="39" w:name="_Toc474176830"/>
      <w:bookmarkStart w:id="40" w:name="_Toc475698988"/>
      <w:r w:rsidRPr="00315156">
        <w:lastRenderedPageBreak/>
        <w:t>Vederlag for vedligeholdelse</w:t>
      </w:r>
      <w:bookmarkEnd w:id="38"/>
      <w:bookmarkEnd w:id="39"/>
      <w:bookmarkEnd w:id="40"/>
    </w:p>
    <w:p w:rsidR="00315156" w:rsidRPr="00B32EFF" w:rsidRDefault="00315156" w:rsidP="00315156">
      <w:r w:rsidRPr="00B32EFF">
        <w:t>Leverandørens vederlag for vedligeholdelse af Leverancen efter Overtagelsesdagen o</w:t>
      </w:r>
      <w:r w:rsidRPr="00B32EFF">
        <w:t>p</w:t>
      </w:r>
      <w:r w:rsidRPr="00B32EFF">
        <w:t xml:space="preserve">gøres i overensstemmelse med </w:t>
      </w:r>
      <w:r>
        <w:t>bilag 12, Appendiks A, punkt 5.</w:t>
      </w:r>
      <w:r w:rsidRPr="00B32EFF">
        <w:t xml:space="preserve"> </w:t>
      </w:r>
    </w:p>
    <w:p w:rsidR="00315156" w:rsidRPr="00B32EFF" w:rsidRDefault="00315156" w:rsidP="00315156"/>
    <w:p w:rsidR="00315156" w:rsidRPr="00B32EFF" w:rsidRDefault="00315156" w:rsidP="00315156">
      <w:r w:rsidRPr="00B32EFF">
        <w:t>Evt. løbende betalinger til licenser/</w:t>
      </w:r>
      <w:r>
        <w:t>P</w:t>
      </w:r>
      <w:r w:rsidRPr="00B32EFF">
        <w:t xml:space="preserve">rogrammel er i overensstemmelse med det under afsnit </w:t>
      </w:r>
      <w:r w:rsidR="00BD225A" w:rsidRPr="00B32EFF">
        <w:fldChar w:fldCharType="begin"/>
      </w:r>
      <w:r w:rsidRPr="00B32EFF">
        <w:instrText xml:space="preserve"> REF _Ref275245843 \r \h </w:instrText>
      </w:r>
      <w:r w:rsidR="00BD225A" w:rsidRPr="00B32EFF">
        <w:fldChar w:fldCharType="separate"/>
      </w:r>
      <w:r w:rsidR="00CB24A9">
        <w:t>3</w:t>
      </w:r>
      <w:r w:rsidR="00BD225A" w:rsidRPr="00B32EFF">
        <w:fldChar w:fldCharType="end"/>
      </w:r>
      <w:r w:rsidRPr="00B32EFF">
        <w:t xml:space="preserve"> anførte inkluderet i vederlaget for vedligeholdelse. </w:t>
      </w:r>
    </w:p>
    <w:p w:rsidR="00315156" w:rsidRPr="00B32EFF" w:rsidRDefault="00315156" w:rsidP="00315156">
      <w:bookmarkStart w:id="41" w:name="_Ref288052580"/>
    </w:p>
    <w:p w:rsidR="00315156" w:rsidRPr="00315156" w:rsidRDefault="00315156" w:rsidP="00315156">
      <w:pPr>
        <w:pStyle w:val="Overskrift1"/>
      </w:pPr>
      <w:bookmarkStart w:id="42" w:name="_Ref288069323"/>
      <w:bookmarkStart w:id="43" w:name="_Toc354490588"/>
      <w:bookmarkStart w:id="44" w:name="_Toc474176831"/>
      <w:bookmarkStart w:id="45" w:name="_Toc475698989"/>
      <w:r w:rsidRPr="00315156">
        <w:t>Justering af brugerantal</w:t>
      </w:r>
      <w:bookmarkEnd w:id="42"/>
      <w:bookmarkEnd w:id="43"/>
      <w:bookmarkEnd w:id="44"/>
      <w:bookmarkEnd w:id="45"/>
    </w:p>
    <w:p w:rsidR="00315156" w:rsidRPr="00315156" w:rsidRDefault="00315156" w:rsidP="00315156">
      <w:pPr>
        <w:pStyle w:val="Overskrift2"/>
      </w:pPr>
      <w:bookmarkStart w:id="46" w:name="_Ref288051169"/>
      <w:bookmarkStart w:id="47" w:name="_Toc354490589"/>
      <w:bookmarkStart w:id="48" w:name="_Toc474176832"/>
      <w:bookmarkStart w:id="49" w:name="_Toc475698990"/>
      <w:r w:rsidRPr="00315156">
        <w:t>Forøgelse af brugerantal</w:t>
      </w:r>
      <w:bookmarkEnd w:id="46"/>
      <w:bookmarkEnd w:id="47"/>
      <w:bookmarkEnd w:id="48"/>
      <w:bookmarkEnd w:id="49"/>
    </w:p>
    <w:p w:rsidR="00315156" w:rsidRDefault="00315156" w:rsidP="00315156"/>
    <w:p w:rsidR="00315156" w:rsidRDefault="00315156" w:rsidP="00315156">
      <w:r w:rsidRPr="00B32EFF">
        <w:t>Ved Kundens forøgelse af antallet af brugere reguleres Leverandøren</w:t>
      </w:r>
      <w:r w:rsidR="007513F8">
        <w:t>s</w:t>
      </w:r>
      <w:r w:rsidRPr="00B32EFF">
        <w:t xml:space="preserve"> vederlag i ove</w:t>
      </w:r>
      <w:r w:rsidRPr="00B32EFF">
        <w:t>r</w:t>
      </w:r>
      <w:r w:rsidRPr="00B32EFF">
        <w:t>ensstemmelse med</w:t>
      </w:r>
      <w:r>
        <w:t xml:space="preserve"> bilag 12, Appendiks A, punkt 6.1</w:t>
      </w:r>
      <w:r w:rsidRPr="00B32EFF">
        <w:t>.</w:t>
      </w:r>
    </w:p>
    <w:p w:rsidR="00315156" w:rsidRDefault="00315156" w:rsidP="00315156"/>
    <w:p w:rsidR="00315156" w:rsidRPr="00B32EFF" w:rsidRDefault="00315156" w:rsidP="00315156">
      <w:r>
        <w:t xml:space="preserve">Ved forøgelse sondres der ikke mellem </w:t>
      </w:r>
      <w:r w:rsidR="00673CEE">
        <w:t>I</w:t>
      </w:r>
      <w:bookmarkStart w:id="50" w:name="_GoBack"/>
      <w:bookmarkEnd w:id="50"/>
      <w:r>
        <w:t xml:space="preserve">nterne brugere samt </w:t>
      </w:r>
      <w:r w:rsidR="00673CEE">
        <w:t>Brugere som</w:t>
      </w:r>
      <w:r>
        <w:t xml:space="preserve"> udvalgsme</w:t>
      </w:r>
      <w:r>
        <w:t>d</w:t>
      </w:r>
      <w:r>
        <w:t>lemmer. En person/enhed, der ansøger om tilskud</w:t>
      </w:r>
      <w:r w:rsidR="007513F8">
        <w:t>,</w:t>
      </w:r>
      <w:r>
        <w:t xml:space="preserve"> er ikke at betegne som en bruger. </w:t>
      </w:r>
    </w:p>
    <w:p w:rsidR="00315156" w:rsidRPr="00B32EFF" w:rsidRDefault="00315156" w:rsidP="00315156"/>
    <w:p w:rsidR="00315156" w:rsidRPr="00B32EFF" w:rsidRDefault="00315156" w:rsidP="00315156">
      <w:r w:rsidRPr="00B32EFF">
        <w:t xml:space="preserve">Det afledte månedlige vedligeholdelsesvederlag tillægges til det i </w:t>
      </w:r>
      <w:r>
        <w:t>bilag 12, Appendiks A, punkt</w:t>
      </w:r>
      <w:r w:rsidRPr="00B32EFF">
        <w:t xml:space="preserve"> </w:t>
      </w:r>
      <w:r w:rsidR="00BD225A" w:rsidRPr="00B32EFF">
        <w:fldChar w:fldCharType="begin"/>
      </w:r>
      <w:r w:rsidRPr="00B32EFF">
        <w:instrText xml:space="preserve"> REF _Ref275246988 \r \h </w:instrText>
      </w:r>
      <w:r w:rsidR="00BD225A" w:rsidRPr="00B32EFF">
        <w:fldChar w:fldCharType="separate"/>
      </w:r>
      <w:r w:rsidR="00CB24A9">
        <w:t>5</w:t>
      </w:r>
      <w:r w:rsidR="00BD225A" w:rsidRPr="00B32EFF">
        <w:fldChar w:fldCharType="end"/>
      </w:r>
      <w:r>
        <w:t>,</w:t>
      </w:r>
      <w:r w:rsidRPr="00B32EFF">
        <w:t xml:space="preserve"> faste vedligeholdelsesvederlag fra den efterfølgende måned</w:t>
      </w:r>
      <w:r>
        <w:t xml:space="preserve"> i forhold til typen af brugere</w:t>
      </w:r>
      <w:r w:rsidRPr="00B32EFF">
        <w:t xml:space="preserve">. </w:t>
      </w:r>
    </w:p>
    <w:p w:rsidR="00315156" w:rsidRPr="00B32EFF" w:rsidRDefault="00315156" w:rsidP="00315156"/>
    <w:p w:rsidR="00315156" w:rsidRPr="00B32EFF" w:rsidRDefault="00315156" w:rsidP="00315156">
      <w:r w:rsidRPr="00B32EFF">
        <w:t xml:space="preserve">Tilkøbet af brugerlicenser og vederlag for afledt vedligehold betales først, når antal af brugere er forøget med 10. 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51" w:name="_Toc474176833"/>
      <w:bookmarkStart w:id="52" w:name="_Toc475698991"/>
      <w:bookmarkEnd w:id="41"/>
      <w:r w:rsidRPr="00315156">
        <w:t>Reduktion af brugere</w:t>
      </w:r>
      <w:bookmarkEnd w:id="51"/>
      <w:bookmarkEnd w:id="52"/>
    </w:p>
    <w:p w:rsidR="00315156" w:rsidRDefault="00315156" w:rsidP="00315156"/>
    <w:p w:rsidR="00315156" w:rsidRDefault="00315156" w:rsidP="00315156">
      <w:r w:rsidRPr="00B32EFF">
        <w:t>Ved Kundens reduktion af brugerantallet reduceres det månedlige vedligeholdelsesv</w:t>
      </w:r>
      <w:r w:rsidRPr="00B32EFF">
        <w:t>e</w:t>
      </w:r>
      <w:r w:rsidRPr="00B32EFF">
        <w:t xml:space="preserve">derlag med det under </w:t>
      </w:r>
      <w:r>
        <w:t xml:space="preserve">bilag 12, Appendiks A, </w:t>
      </w:r>
      <w:r w:rsidRPr="00B32EFF">
        <w:t xml:space="preserve">punkt </w:t>
      </w:r>
      <w:r w:rsidR="00BD225A" w:rsidRPr="00B32EFF">
        <w:fldChar w:fldCharType="begin"/>
      </w:r>
      <w:r w:rsidRPr="00B32EFF">
        <w:instrText xml:space="preserve"> REF _Ref288051169 \r \h </w:instrText>
      </w:r>
      <w:r w:rsidR="00BD225A" w:rsidRPr="00B32EFF">
        <w:fldChar w:fldCharType="separate"/>
      </w:r>
      <w:r w:rsidR="00CB24A9">
        <w:t>6.1</w:t>
      </w:r>
      <w:r w:rsidR="00BD225A" w:rsidRPr="00B32EFF">
        <w:fldChar w:fldCharType="end"/>
      </w:r>
      <w:r>
        <w:t>,</w:t>
      </w:r>
      <w:r w:rsidRPr="00B32EFF">
        <w:t xml:space="preserve"> anførte beløb for afledte vedl</w:t>
      </w:r>
      <w:r w:rsidRPr="00B32EFF">
        <w:t>i</w:t>
      </w:r>
      <w:r w:rsidRPr="00B32EFF">
        <w:t>gehold knyttet til anskaffelse af 10 brugerlicenser for hver 10 brugere, der reduceres.</w:t>
      </w:r>
    </w:p>
    <w:p w:rsidR="00315156" w:rsidRDefault="00315156" w:rsidP="00315156"/>
    <w:p w:rsidR="00315156" w:rsidRPr="00B32EFF" w:rsidRDefault="00315156" w:rsidP="00315156">
      <w:r w:rsidRPr="00B32EFF">
        <w:t>Reduktionen af vederlaget foretage</w:t>
      </w:r>
      <w:r>
        <w:t>s</w:t>
      </w:r>
      <w:r w:rsidRPr="00B32EFF">
        <w:t xml:space="preserve"> fra den efterfølgende måned. </w:t>
      </w:r>
    </w:p>
    <w:p w:rsidR="00315156" w:rsidRPr="00B32EFF" w:rsidRDefault="00315156" w:rsidP="00315156"/>
    <w:p w:rsidR="00315156" w:rsidRPr="00B32EFF" w:rsidRDefault="00315156" w:rsidP="00315156">
      <w:r w:rsidRPr="00B32EFF">
        <w:t xml:space="preserve">Vederlaget for vedligeholdelse kan maksimalt reduceres til </w:t>
      </w:r>
      <w:r>
        <w:t xml:space="preserve">den månedlige pris angivet i bilag 12, Appendiks A, punkt 6.2. </w:t>
      </w:r>
    </w:p>
    <w:p w:rsidR="00315156" w:rsidRPr="00B32EFF" w:rsidRDefault="00315156" w:rsidP="00315156"/>
    <w:p w:rsidR="00315156" w:rsidRPr="00315156" w:rsidRDefault="00315156" w:rsidP="00315156">
      <w:pPr>
        <w:pStyle w:val="Overskrift2"/>
      </w:pPr>
      <w:bookmarkStart w:id="53" w:name="_Toc474176834"/>
      <w:bookmarkStart w:id="54" w:name="_Toc475698992"/>
      <w:r w:rsidRPr="00315156">
        <w:t>Særlige forhold vedr. ændringer af brugere</w:t>
      </w:r>
      <w:bookmarkEnd w:id="53"/>
      <w:bookmarkEnd w:id="54"/>
    </w:p>
    <w:p w:rsidR="00315156" w:rsidRDefault="00315156" w:rsidP="00315156"/>
    <w:p w:rsidR="00315156" w:rsidRPr="00B32EFF" w:rsidRDefault="00315156" w:rsidP="00315156">
      <w:r w:rsidRPr="00B32EFF">
        <w:t>Kunden bibeholder retten til erhvervede brugerlicenser. Såfremt Kunden efter en redu</w:t>
      </w:r>
      <w:r w:rsidRPr="00B32EFF">
        <w:t>k</w:t>
      </w:r>
      <w:r w:rsidRPr="00B32EFF">
        <w:t>tion af antallet af brugere igen øger brugerantallet</w:t>
      </w:r>
      <w:r w:rsidR="007513F8">
        <w:t>,</w:t>
      </w:r>
      <w:r w:rsidRPr="00B32EFF">
        <w:t xml:space="preserve"> betales alene tilkøbspris for brugerl</w:t>
      </w:r>
      <w:r w:rsidRPr="00B32EFF">
        <w:t>i</w:t>
      </w:r>
      <w:r w:rsidRPr="00B32EFF">
        <w:t>censer, når antallet af brugere overstiger det antal brugerlicenser</w:t>
      </w:r>
      <w:r w:rsidR="007513F8">
        <w:t>,</w:t>
      </w:r>
      <w:r w:rsidRPr="00B32EFF">
        <w:t xml:space="preserve"> Kunden allerede har erhvervet. Afledt vedligehold betales altid i henhold til det faktiske antal brugere. </w:t>
      </w:r>
    </w:p>
    <w:p w:rsidR="00315156" w:rsidRPr="00B32EFF" w:rsidRDefault="00315156" w:rsidP="00315156"/>
    <w:p w:rsidR="00315156" w:rsidRPr="00B32EFF" w:rsidRDefault="00315156" w:rsidP="00315156">
      <w:r w:rsidRPr="00B32EFF">
        <w:t xml:space="preserve">Antallet af brugere opgøres månedsvis. </w:t>
      </w:r>
    </w:p>
    <w:p w:rsidR="00315156" w:rsidRPr="00B32EFF" w:rsidRDefault="00315156" w:rsidP="00315156"/>
    <w:p w:rsidR="00315156" w:rsidRPr="00315156" w:rsidRDefault="00315156" w:rsidP="00315156">
      <w:pPr>
        <w:pStyle w:val="Overskrift1"/>
      </w:pPr>
      <w:bookmarkStart w:id="55" w:name="_Toc288083055"/>
      <w:bookmarkStart w:id="56" w:name="_Toc285693848"/>
      <w:bookmarkStart w:id="57" w:name="_Toc288083056"/>
      <w:bookmarkStart w:id="58" w:name="_Toc288083057"/>
      <w:bookmarkStart w:id="59" w:name="_Toc288083058"/>
      <w:bookmarkStart w:id="60" w:name="_Toc288083083"/>
      <w:bookmarkStart w:id="61" w:name="_Toc288083084"/>
      <w:bookmarkStart w:id="62" w:name="_Toc288083085"/>
      <w:bookmarkStart w:id="63" w:name="_Toc288083086"/>
      <w:bookmarkStart w:id="64" w:name="_Toc288083087"/>
      <w:bookmarkStart w:id="65" w:name="_Toc288083088"/>
      <w:bookmarkStart w:id="66" w:name="_Toc474176835"/>
      <w:bookmarkStart w:id="67" w:name="_Toc47569899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15156">
        <w:lastRenderedPageBreak/>
        <w:t>Vederlag for udtræden</w:t>
      </w:r>
      <w:bookmarkEnd w:id="66"/>
      <w:bookmarkEnd w:id="67"/>
    </w:p>
    <w:p w:rsidR="00315156" w:rsidRPr="00B32EFF" w:rsidRDefault="00315156" w:rsidP="00315156">
      <w:r w:rsidRPr="00B32EFF">
        <w:t>Hvis Kunden udtræder af Kontrakten i henhold til Kontraktens punkt 5.</w:t>
      </w:r>
      <w:r>
        <w:t>3.2,</w:t>
      </w:r>
      <w:r w:rsidRPr="00B32EFF">
        <w:t xml:space="preserve"> betaler Ku</w:t>
      </w:r>
      <w:r w:rsidRPr="00B32EFF">
        <w:t>n</w:t>
      </w:r>
      <w:r w:rsidRPr="00B32EFF">
        <w:t>den et vederlag til Leverandøren svarende til det rimelige antal timer, som Leverandøren har forbrugt i forhold til opgaverne</w:t>
      </w:r>
      <w:r w:rsidR="00F92B30">
        <w:t>,</w:t>
      </w:r>
      <w:r w:rsidRPr="00B32EFF">
        <w:t xml:space="preserve"> der skal udføres i afklaringsfasen frem til Kundens meddelelse om opsigelsen</w:t>
      </w:r>
      <w:r w:rsidR="00F92B30">
        <w:t>,</w:t>
      </w:r>
      <w:r w:rsidRPr="00B32EFF">
        <w:t xml:space="preserve"> samt dokumenterede og nødvendige omkostninger</w:t>
      </w:r>
      <w:r w:rsidR="007513F8">
        <w:t>,</w:t>
      </w:r>
      <w:r w:rsidRPr="00B32EFF">
        <w:t xml:space="preserve"> som L</w:t>
      </w:r>
      <w:r w:rsidRPr="00B32EFF">
        <w:t>e</w:t>
      </w:r>
      <w:r w:rsidRPr="00B32EFF">
        <w:t>verandøren har afholdt. Omkostninger til licenser godtgøres alene i det omfang, at a</w:t>
      </w:r>
      <w:r w:rsidRPr="00B32EFF">
        <w:t>n</w:t>
      </w:r>
      <w:r w:rsidRPr="00B32EFF">
        <w:t xml:space="preserve">skaffelsen heraf er sket efter særskilt aftale med Kunden. Licenser overtages herefter af Kunden. </w:t>
      </w:r>
    </w:p>
    <w:p w:rsidR="00315156" w:rsidRPr="00B32EFF" w:rsidRDefault="00315156" w:rsidP="00315156"/>
    <w:p w:rsidR="00315156" w:rsidRPr="00F33A64" w:rsidRDefault="00315156" w:rsidP="00F33A64">
      <w:pPr>
        <w:pStyle w:val="Overskrift1"/>
      </w:pPr>
      <w:bookmarkStart w:id="68" w:name="_Ref275245560"/>
      <w:bookmarkStart w:id="69" w:name="_Toc474176836"/>
      <w:bookmarkStart w:id="70" w:name="_Toc475698994"/>
      <w:r w:rsidRPr="00F33A64">
        <w:t>Optioner</w:t>
      </w:r>
      <w:bookmarkEnd w:id="68"/>
      <w:bookmarkEnd w:id="69"/>
      <w:bookmarkEnd w:id="70"/>
    </w:p>
    <w:p w:rsidR="00315156" w:rsidRDefault="00315156" w:rsidP="00315156">
      <w:r w:rsidRPr="00B32EFF">
        <w:t xml:space="preserve">Vederlaget for </w:t>
      </w:r>
      <w:r>
        <w:t>O</w:t>
      </w:r>
      <w:r w:rsidRPr="00B32EFF">
        <w:t>ptioner, der bestilles af Kunden</w:t>
      </w:r>
      <w:r w:rsidR="00F92B30">
        <w:t>,</w:t>
      </w:r>
      <w:r w:rsidRPr="00B32EFF">
        <w:t xml:space="preserve"> fremgår af </w:t>
      </w:r>
      <w:r>
        <w:t xml:space="preserve">bilag 12, Appendiks A, </w:t>
      </w:r>
      <w:r w:rsidRPr="00B32EFF">
        <w:t>a</w:t>
      </w:r>
      <w:r w:rsidRPr="00B32EFF">
        <w:t>f</w:t>
      </w:r>
      <w:r w:rsidRPr="00B32EFF">
        <w:t xml:space="preserve">snit </w:t>
      </w:r>
      <w:r w:rsidR="00BD225A">
        <w:fldChar w:fldCharType="begin"/>
      </w:r>
      <w:r>
        <w:instrText xml:space="preserve"> REF _Ref474091286 \r \h </w:instrText>
      </w:r>
      <w:r w:rsidR="00BD225A">
        <w:fldChar w:fldCharType="separate"/>
      </w:r>
      <w:r w:rsidR="00CB24A9">
        <w:t>8.1</w:t>
      </w:r>
      <w:r w:rsidR="00BD225A">
        <w:fldChar w:fldCharType="end"/>
      </w:r>
      <w:r>
        <w:t xml:space="preserve"> </w:t>
      </w:r>
      <w:r w:rsidRPr="00B32EFF">
        <w:t>til afsnit</w:t>
      </w:r>
      <w:r>
        <w:t xml:space="preserve"> </w:t>
      </w:r>
      <w:r w:rsidR="00BD225A">
        <w:fldChar w:fldCharType="begin"/>
      </w:r>
      <w:r>
        <w:instrText xml:space="preserve"> REF _Ref474091293 \r \h </w:instrText>
      </w:r>
      <w:r w:rsidR="00BD225A">
        <w:fldChar w:fldCharType="separate"/>
      </w:r>
      <w:r w:rsidR="00CB24A9">
        <w:t>8.3</w:t>
      </w:r>
      <w:r w:rsidR="00BD225A">
        <w:fldChar w:fldCharType="end"/>
      </w:r>
      <w:r>
        <w:t>.</w:t>
      </w:r>
    </w:p>
    <w:p w:rsidR="00315156" w:rsidRDefault="00315156" w:rsidP="00315156"/>
    <w:p w:rsidR="00315156" w:rsidRDefault="00315156" w:rsidP="00315156">
      <w:r>
        <w:t xml:space="preserve">Optioner </w:t>
      </w:r>
      <w:r w:rsidR="0087680B">
        <w:t>skal</w:t>
      </w:r>
      <w:r>
        <w:t xml:space="preserve"> priss</w:t>
      </w:r>
      <w:r w:rsidR="0087680B">
        <w:t>ættes</w:t>
      </w:r>
      <w:r>
        <w:t xml:space="preserve"> særskilt og </w:t>
      </w:r>
      <w:r w:rsidR="0087680B">
        <w:t xml:space="preserve">uden indbyrdes </w:t>
      </w:r>
      <w:r>
        <w:t>afhængig</w:t>
      </w:r>
      <w:r w:rsidR="0087680B">
        <w:t>hed</w:t>
      </w:r>
      <w:r>
        <w:t>.</w:t>
      </w:r>
      <w:r w:rsidR="0055426C">
        <w:t xml:space="preserve"> De afgivne priser er uafhængige af, om optioner </w:t>
      </w:r>
      <w:r w:rsidR="00F92B30">
        <w:t xml:space="preserve">er </w:t>
      </w:r>
      <w:r w:rsidR="0055426C">
        <w:t>til levering som en del af Leverancen eller til levering som en Selvstændig Opgave.</w:t>
      </w:r>
    </w:p>
    <w:p w:rsidR="00315156" w:rsidRDefault="00315156" w:rsidP="00315156"/>
    <w:p w:rsidR="00315156" w:rsidRDefault="00315156" w:rsidP="00315156">
      <w:r w:rsidRPr="00B71032">
        <w:t>Kundens bestilling af option 1-3 er struktureret i overensstemmelse med følgende: Opt</w:t>
      </w:r>
      <w:r w:rsidRPr="00B71032">
        <w:t>i</w:t>
      </w:r>
      <w:r w:rsidRPr="00B71032">
        <w:t xml:space="preserve">on 1 skal </w:t>
      </w:r>
      <w:r w:rsidR="00F92B30">
        <w:t xml:space="preserve">altid </w:t>
      </w:r>
      <w:r w:rsidRPr="00B71032">
        <w:t>bestilles først, herefter (eller samtidig) kan option 2 bestilles og endelig option 3. Option 3 kan således ikke bestilles</w:t>
      </w:r>
      <w:r w:rsidR="00F92B30">
        <w:t>,</w:t>
      </w:r>
      <w:r w:rsidRPr="00B71032">
        <w:t xml:space="preserve"> uden a</w:t>
      </w:r>
      <w:r w:rsidR="00F92B30">
        <w:t>t</w:t>
      </w:r>
      <w:r w:rsidRPr="00B71032">
        <w:t xml:space="preserve"> option 1 og 2 ligeledes er bestilt. </w:t>
      </w:r>
    </w:p>
    <w:p w:rsidR="00F33A64" w:rsidRPr="00B71032" w:rsidRDefault="00F33A64" w:rsidP="00315156"/>
    <w:p w:rsidR="00315156" w:rsidRPr="00F33A64" w:rsidRDefault="005443BD" w:rsidP="00F33A64">
      <w:pPr>
        <w:pStyle w:val="Overskrift2"/>
      </w:pPr>
      <w:bookmarkStart w:id="71" w:name="_Ref474091286"/>
      <w:bookmarkStart w:id="72" w:name="_Toc474176837"/>
      <w:bookmarkStart w:id="73" w:name="_Toc475698995"/>
      <w:r>
        <w:t xml:space="preserve">Option 1 – </w:t>
      </w:r>
      <w:r w:rsidR="00315156" w:rsidRPr="00F33A64">
        <w:t>Konvertering af igangværende sager fra TAS – delmængde 1/3</w:t>
      </w:r>
      <w:bookmarkEnd w:id="71"/>
      <w:bookmarkEnd w:id="72"/>
      <w:bookmarkEnd w:id="73"/>
    </w:p>
    <w:p w:rsidR="00F33A64" w:rsidRDefault="00F33A64" w:rsidP="00315156"/>
    <w:p w:rsidR="00315156" w:rsidRDefault="00315156" w:rsidP="00315156">
      <w:r w:rsidRPr="00B71032">
        <w:t xml:space="preserve">Ved Kundens bestilling af optionen betales det i bilag 12, Appendiks A, punkt </w:t>
      </w:r>
      <w:r w:rsidR="00BD225A">
        <w:fldChar w:fldCharType="begin"/>
      </w:r>
      <w:r>
        <w:instrText xml:space="preserve"> REF _Ref474091286 \r \h </w:instrText>
      </w:r>
      <w:r w:rsidR="00BD225A">
        <w:fldChar w:fldCharType="separate"/>
      </w:r>
      <w:r w:rsidR="00CB24A9">
        <w:t>8.1</w:t>
      </w:r>
      <w:r w:rsidR="00BD225A">
        <w:fldChar w:fldCharType="end"/>
      </w:r>
      <w:r w:rsidRPr="00B71032">
        <w:t>, a</w:t>
      </w:r>
      <w:r w:rsidRPr="00B71032">
        <w:t>n</w:t>
      </w:r>
      <w:r w:rsidRPr="00B71032">
        <w:t>førte vederlag.</w:t>
      </w:r>
    </w:p>
    <w:p w:rsidR="00315156" w:rsidRPr="00B71032" w:rsidRDefault="00315156" w:rsidP="00315156"/>
    <w:p w:rsidR="00315156" w:rsidRPr="00F33A64" w:rsidRDefault="00315156" w:rsidP="00F33A64">
      <w:pPr>
        <w:pStyle w:val="Overskrift2"/>
      </w:pPr>
      <w:bookmarkStart w:id="74" w:name="_Ref474091353"/>
      <w:bookmarkStart w:id="75" w:name="_Toc474176838"/>
      <w:bookmarkStart w:id="76" w:name="_Toc475698996"/>
      <w:r w:rsidRPr="00F33A64">
        <w:t>Option 2 – Konvertering af igangværende sager fra TAS – delmængde 2/3</w:t>
      </w:r>
      <w:bookmarkEnd w:id="74"/>
      <w:bookmarkEnd w:id="75"/>
      <w:bookmarkEnd w:id="76"/>
    </w:p>
    <w:p w:rsidR="00F33A64" w:rsidRDefault="00F33A64" w:rsidP="00315156"/>
    <w:p w:rsidR="00315156" w:rsidRDefault="00315156" w:rsidP="00315156">
      <w:r>
        <w:t xml:space="preserve">Ved Kundens bestilling af optionen betales det i bilag 12, Appendiks A, punkt </w:t>
      </w:r>
      <w:r w:rsidR="00BD225A">
        <w:fldChar w:fldCharType="begin"/>
      </w:r>
      <w:r>
        <w:instrText xml:space="preserve"> REF _Ref474091353 \r \h </w:instrText>
      </w:r>
      <w:r w:rsidR="00BD225A">
        <w:fldChar w:fldCharType="separate"/>
      </w:r>
      <w:r w:rsidR="00CB24A9">
        <w:t>8.2</w:t>
      </w:r>
      <w:r w:rsidR="00BD225A">
        <w:fldChar w:fldCharType="end"/>
      </w:r>
      <w:r>
        <w:t>, a</w:t>
      </w:r>
      <w:r>
        <w:t>n</w:t>
      </w:r>
      <w:r>
        <w:t>førte vederlag.</w:t>
      </w:r>
    </w:p>
    <w:p w:rsidR="00315156" w:rsidRPr="00B32EFF" w:rsidRDefault="00315156" w:rsidP="00315156"/>
    <w:p w:rsidR="00315156" w:rsidRPr="00F33A64" w:rsidRDefault="00315156" w:rsidP="00F33A64">
      <w:pPr>
        <w:pStyle w:val="Overskrift2"/>
      </w:pPr>
      <w:bookmarkStart w:id="77" w:name="_Ref474091293"/>
      <w:bookmarkStart w:id="78" w:name="_Toc474176839"/>
      <w:bookmarkStart w:id="79" w:name="_Toc475698997"/>
      <w:bookmarkStart w:id="80" w:name="_Ref275246598"/>
      <w:r w:rsidRPr="00F33A64">
        <w:t>Option 3 – Konvertering af igangværende sager fra TAS – delmængde 3/3</w:t>
      </w:r>
      <w:bookmarkEnd w:id="77"/>
      <w:bookmarkEnd w:id="78"/>
      <w:bookmarkEnd w:id="79"/>
    </w:p>
    <w:p w:rsidR="00F33A64" w:rsidRDefault="00F33A64" w:rsidP="00315156"/>
    <w:p w:rsidR="00315156" w:rsidRDefault="00315156" w:rsidP="00315156">
      <w:r>
        <w:t xml:space="preserve">Ved Kundens bestilling af optionen betales det i bilag 12, Appendiks A, punkt </w:t>
      </w:r>
      <w:r w:rsidR="00BD225A">
        <w:fldChar w:fldCharType="begin"/>
      </w:r>
      <w:r>
        <w:instrText xml:space="preserve"> REF _Ref474091293 \r \h </w:instrText>
      </w:r>
      <w:r w:rsidR="00BD225A">
        <w:fldChar w:fldCharType="separate"/>
      </w:r>
      <w:r w:rsidR="00CB24A9">
        <w:t>8.3</w:t>
      </w:r>
      <w:r w:rsidR="00BD225A">
        <w:fldChar w:fldCharType="end"/>
      </w:r>
      <w:r>
        <w:t>, a</w:t>
      </w:r>
      <w:r>
        <w:t>n</w:t>
      </w:r>
      <w:r>
        <w:t>førte vederlag.</w:t>
      </w:r>
    </w:p>
    <w:bookmarkEnd w:id="80"/>
    <w:p w:rsidR="00315156" w:rsidRPr="00B32EFF" w:rsidRDefault="00315156" w:rsidP="00315156"/>
    <w:p w:rsidR="00315156" w:rsidRPr="00F33A64" w:rsidRDefault="00315156" w:rsidP="00F33A64">
      <w:pPr>
        <w:pStyle w:val="Overskrift1"/>
      </w:pPr>
      <w:bookmarkStart w:id="81" w:name="_Ref290548462"/>
      <w:bookmarkStart w:id="82" w:name="_Toc474176840"/>
      <w:bookmarkStart w:id="83" w:name="_Toc475698998"/>
      <w:r w:rsidRPr="00F33A64">
        <w:t>Regulering af priser</w:t>
      </w:r>
      <w:bookmarkEnd w:id="81"/>
      <w:bookmarkEnd w:id="82"/>
      <w:bookmarkEnd w:id="83"/>
    </w:p>
    <w:p w:rsidR="00315156" w:rsidRPr="00B32EFF" w:rsidRDefault="00315156" w:rsidP="00315156">
      <w:r w:rsidRPr="00726397">
        <w:t>Leverandørens priser er baseret på det af Danmark Statistik offentliggjorte ne</w:t>
      </w:r>
      <w:r w:rsidRPr="00B233D4">
        <w:t>ttoprisi</w:t>
      </w:r>
      <w:r w:rsidRPr="00B233D4">
        <w:t>n</w:t>
      </w:r>
      <w:r w:rsidRPr="00B233D4">
        <w:t>deks (lovbekendtgørelse 76/1999 med senere ændringer) for oktober måned 201</w:t>
      </w:r>
      <w:r>
        <w:t>7</w:t>
      </w:r>
      <w:r w:rsidRPr="00B233D4">
        <w:t xml:space="preserve"> og reguleres årligt (pr. 1. januar) i overensstemmelse hermed, første gang den 1. januar 201</w:t>
      </w:r>
      <w:r>
        <w:t>9</w:t>
      </w:r>
      <w:r w:rsidRPr="00B233D4">
        <w:t>.</w:t>
      </w:r>
    </w:p>
    <w:p w:rsidR="00315156" w:rsidRPr="00B32EFF" w:rsidRDefault="00315156" w:rsidP="00315156"/>
    <w:p w:rsidR="00315156" w:rsidRPr="00B32EFF" w:rsidRDefault="00315156" w:rsidP="00315156">
      <w:r w:rsidRPr="00B32EFF">
        <w:t xml:space="preserve">De i bilag 6 anførte bodsbeløb reguleres i overensstemmelse med ovenstående. </w:t>
      </w:r>
    </w:p>
    <w:p w:rsidR="00315156" w:rsidRPr="00B32EFF" w:rsidRDefault="00315156" w:rsidP="00315156"/>
    <w:p w:rsidR="00315156" w:rsidRPr="00B32EFF" w:rsidRDefault="00315156" w:rsidP="00315156">
      <w:r w:rsidRPr="00B32EFF">
        <w:t xml:space="preserve">Leverandøren er forpligtet til særskilt at orientere Kunden, når prisreguleringen efter denne bestemmelse træder i kraft. </w:t>
      </w:r>
    </w:p>
    <w:p w:rsidR="00315156" w:rsidRPr="00B32EFF" w:rsidRDefault="00315156" w:rsidP="00315156"/>
    <w:p w:rsidR="00315156" w:rsidRPr="00F33A64" w:rsidRDefault="00315156" w:rsidP="00F33A64">
      <w:pPr>
        <w:pStyle w:val="Overskrift1"/>
      </w:pPr>
      <w:bookmarkStart w:id="84" w:name="_Toc474176841"/>
      <w:bookmarkStart w:id="85" w:name="_Toc475698999"/>
      <w:r w:rsidRPr="00F33A64">
        <w:t>Betalingsbetingelser</w:t>
      </w:r>
      <w:bookmarkEnd w:id="84"/>
      <w:bookmarkEnd w:id="85"/>
    </w:p>
    <w:p w:rsidR="00315156" w:rsidRPr="00B32EFF" w:rsidRDefault="00315156" w:rsidP="00315156">
      <w:pPr>
        <w:rPr>
          <w:bCs w:val="0"/>
        </w:rPr>
      </w:pPr>
      <w:r w:rsidRPr="00B32EFF">
        <w:t xml:space="preserve">Kunden betaler i overensstemmelse med Kontraktens punkt 16 leverancevederlaget i overensstemmelse med betalingsplanen, jf. afsnit </w:t>
      </w:r>
      <w:r w:rsidR="00BD225A" w:rsidRPr="00B32EFF">
        <w:rPr>
          <w:bCs w:val="0"/>
        </w:rPr>
        <w:fldChar w:fldCharType="begin"/>
      </w:r>
      <w:r w:rsidRPr="00B32EFF">
        <w:instrText xml:space="preserve"> REF _Ref275245514 \r \h </w:instrText>
      </w:r>
      <w:r w:rsidR="00BD225A" w:rsidRPr="00B32EFF">
        <w:rPr>
          <w:bCs w:val="0"/>
        </w:rPr>
      </w:r>
      <w:r w:rsidR="00BD225A" w:rsidRPr="00B32EFF">
        <w:rPr>
          <w:bCs w:val="0"/>
        </w:rPr>
        <w:fldChar w:fldCharType="separate"/>
      </w:r>
      <w:r w:rsidR="00CB24A9">
        <w:t>2</w:t>
      </w:r>
      <w:r w:rsidR="00BD225A" w:rsidRPr="00B32EFF">
        <w:rPr>
          <w:bCs w:val="0"/>
        </w:rPr>
        <w:fldChar w:fldCharType="end"/>
      </w:r>
      <w:r>
        <w:t>,</w:t>
      </w:r>
      <w:r w:rsidRPr="00B32EFF">
        <w:t xml:space="preserve"> under forudsætning af, at Levera</w:t>
      </w:r>
      <w:r w:rsidRPr="00B32EFF">
        <w:t>n</w:t>
      </w:r>
      <w:r w:rsidRPr="00B32EFF">
        <w:t>døren på faktureringstidspunktet har udført alt, hvad Leverandøren i henhold til tidspl</w:t>
      </w:r>
      <w:r w:rsidRPr="00B32EFF">
        <w:t>a</w:t>
      </w:r>
      <w:r w:rsidRPr="00B32EFF">
        <w:t xml:space="preserve">nen i bilag 1 skal have udført på dette tidspunkt. </w:t>
      </w:r>
    </w:p>
    <w:p w:rsidR="00315156" w:rsidRPr="00B32EFF" w:rsidRDefault="00315156" w:rsidP="00315156">
      <w:pPr>
        <w:rPr>
          <w:bCs w:val="0"/>
        </w:rPr>
      </w:pPr>
    </w:p>
    <w:p w:rsidR="00315156" w:rsidRPr="00B32EFF" w:rsidRDefault="00315156" w:rsidP="00315156">
      <w:pPr>
        <w:rPr>
          <w:bCs w:val="0"/>
        </w:rPr>
      </w:pPr>
      <w:r w:rsidRPr="00B32EFF">
        <w:t>Ved ændringer, herunder Optioner, der leveres som en Selvstændig Opgave</w:t>
      </w:r>
      <w:r w:rsidR="00F92B30">
        <w:t>,</w:t>
      </w:r>
      <w:r w:rsidRPr="00B32EFF">
        <w:t xml:space="preserve"> sker bet</w:t>
      </w:r>
      <w:r w:rsidRPr="00B32EFF">
        <w:t>a</w:t>
      </w:r>
      <w:r w:rsidRPr="00B32EFF">
        <w:t>ling under samme betingelser i henhold til følgende betalingsplan</w:t>
      </w:r>
      <w:r w:rsidR="00F92B30">
        <w:t>,</w:t>
      </w:r>
      <w:r w:rsidRPr="00B32EFF">
        <w:t xml:space="preserve"> medmindre </w:t>
      </w:r>
      <w:r>
        <w:t>P</w:t>
      </w:r>
      <w:r w:rsidRPr="00B32EFF">
        <w:t xml:space="preserve">arterne aftaler andet: Overtagelsesprøve 80 %, </w:t>
      </w:r>
      <w:r>
        <w:t>d</w:t>
      </w:r>
      <w:r w:rsidRPr="00B32EFF">
        <w:t>riftsprøve 20 %.</w:t>
      </w:r>
    </w:p>
    <w:p w:rsidR="00315156" w:rsidRPr="00B32EFF" w:rsidRDefault="00315156" w:rsidP="00315156"/>
    <w:p w:rsidR="00315156" w:rsidRDefault="00315156" w:rsidP="00315156">
      <w:r w:rsidRPr="00B71032">
        <w:t xml:space="preserve">Betalingsbetingelserne er løbende måned + 30 dage efter </w:t>
      </w:r>
      <w:r>
        <w:t>Kundens</w:t>
      </w:r>
      <w:r w:rsidRPr="00B71032">
        <w:t xml:space="preserve"> modtagelse og accept af Leverandørens faktura.</w:t>
      </w:r>
    </w:p>
    <w:p w:rsidR="00315156" w:rsidRDefault="00315156" w:rsidP="00315156"/>
    <w:p w:rsidR="00315156" w:rsidRPr="00B32EFF" w:rsidRDefault="00315156" w:rsidP="00315156">
      <w:r w:rsidRPr="00B71032">
        <w:t>Ved forsinket betaling er Leverandøren berettiget til at beregne renter i henhold til LBK nr. 743 af 04/09/2002 ”Bekendtgørelse af lov om renter ved forsinket betaling m.v. (Renteloven)”.</w:t>
      </w:r>
    </w:p>
    <w:p w:rsidR="00315156" w:rsidRPr="00B32EFF" w:rsidRDefault="00315156" w:rsidP="00315156"/>
    <w:p w:rsidR="00315156" w:rsidRPr="00F33A64" w:rsidRDefault="00315156" w:rsidP="00F33A64">
      <w:pPr>
        <w:pStyle w:val="Overskrift2"/>
      </w:pPr>
      <w:bookmarkStart w:id="86" w:name="_Toc474176842"/>
      <w:bookmarkStart w:id="87" w:name="_Toc475699000"/>
      <w:r w:rsidRPr="00F33A64">
        <w:t>Krav til faktura</w:t>
      </w:r>
      <w:bookmarkEnd w:id="86"/>
      <w:bookmarkEnd w:id="87"/>
    </w:p>
    <w:p w:rsidR="00F33A64" w:rsidRDefault="00F33A64" w:rsidP="00315156"/>
    <w:p w:rsidR="00315156" w:rsidRDefault="00315156" w:rsidP="00315156">
      <w:r>
        <w:t>En faktura skal altid kun indeholde linjer</w:t>
      </w:r>
      <w:r w:rsidR="00F92B30">
        <w:t>,</w:t>
      </w:r>
      <w:r>
        <w:t xml:space="preserve"> der vedrører én opgave.</w:t>
      </w:r>
    </w:p>
    <w:p w:rsidR="00315156" w:rsidRDefault="00315156" w:rsidP="00315156">
      <w:r>
        <w:t xml:space="preserve">Fakturering af ydelser </w:t>
      </w:r>
      <w:proofErr w:type="spellStart"/>
      <w:r>
        <w:t>ifm</w:t>
      </w:r>
      <w:proofErr w:type="spellEnd"/>
      <w:r>
        <w:t xml:space="preserve">. </w:t>
      </w:r>
      <w:proofErr w:type="gramStart"/>
      <w:r>
        <w:t>vedligehold og support skal faktureres særskilt.</w:t>
      </w:r>
      <w:proofErr w:type="gramEnd"/>
    </w:p>
    <w:p w:rsidR="00315156" w:rsidRDefault="00315156" w:rsidP="00315156"/>
    <w:p w:rsidR="00315156" w:rsidRDefault="00315156" w:rsidP="00315156">
      <w:r w:rsidRPr="00B71032">
        <w:t xml:space="preserve">Fakturering skal ske i henhold til Bekendtgørelse nr. 206 af 11/03/2011 om elektronisk afregning med offentlige myndigheder. </w:t>
      </w:r>
    </w:p>
    <w:p w:rsidR="00315156" w:rsidRDefault="00315156" w:rsidP="00315156">
      <w:r w:rsidRPr="00B71032">
        <w:t>Faktura sendes til Slots- og Kul</w:t>
      </w:r>
      <w:r>
        <w:t xml:space="preserve">turstyrelsen EAN nummer: </w:t>
      </w:r>
      <w:proofErr w:type="gramStart"/>
      <w:r w:rsidRPr="00B71032">
        <w:t>5798009814197</w:t>
      </w:r>
      <w:proofErr w:type="gramEnd"/>
      <w:r w:rsidRPr="00B71032">
        <w:t>.</w:t>
      </w:r>
    </w:p>
    <w:p w:rsidR="00315156" w:rsidRPr="00B71032" w:rsidRDefault="00315156" w:rsidP="00315156"/>
    <w:p w:rsidR="00315156" w:rsidRDefault="00315156" w:rsidP="00315156">
      <w:r w:rsidRPr="00B71032">
        <w:t>Fakturaen skal være påført følgende oplysninger:</w:t>
      </w:r>
    </w:p>
    <w:p w:rsidR="0087680B" w:rsidRPr="00B71032" w:rsidRDefault="0087680B" w:rsidP="00315156"/>
    <w:p w:rsidR="00315156" w:rsidRPr="00B71032" w:rsidRDefault="00315156" w:rsidP="00315156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/>
        <w:textAlignment w:val="auto"/>
      </w:pPr>
      <w:r w:rsidRPr="00B71032">
        <w:t>Betalingsdato</w:t>
      </w:r>
    </w:p>
    <w:p w:rsidR="00315156" w:rsidRPr="00B71032" w:rsidRDefault="00315156" w:rsidP="00315156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/>
        <w:textAlignment w:val="auto"/>
      </w:pPr>
      <w:r w:rsidRPr="00B71032">
        <w:t>Kontraktnummer (som angivet på kontraktens forside)</w:t>
      </w:r>
    </w:p>
    <w:p w:rsidR="00315156" w:rsidRPr="00B71032" w:rsidRDefault="00315156" w:rsidP="00315156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/>
        <w:textAlignment w:val="auto"/>
      </w:pPr>
      <w:r w:rsidRPr="00B71032">
        <w:t>SLKS</w:t>
      </w:r>
      <w:r w:rsidR="00F92B30">
        <w:t>’</w:t>
      </w:r>
      <w:r w:rsidRPr="00B71032">
        <w:t xml:space="preserve"> adresse</w:t>
      </w:r>
      <w:r w:rsidR="00F92B30">
        <w:t>,</w:t>
      </w:r>
      <w:r w:rsidRPr="00B71032">
        <w:t xml:space="preserve"> hvortil ydelsen er leveret</w:t>
      </w:r>
    </w:p>
    <w:p w:rsidR="00315156" w:rsidRPr="00B71032" w:rsidRDefault="00315156" w:rsidP="00315156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/>
        <w:textAlignment w:val="auto"/>
      </w:pPr>
      <w:r w:rsidRPr="00B71032">
        <w:t>Periode og/eller dato for levering af ydelsen</w:t>
      </w:r>
    </w:p>
    <w:p w:rsidR="00315156" w:rsidRDefault="00315156" w:rsidP="00315156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/>
        <w:textAlignment w:val="auto"/>
      </w:pPr>
      <w:r w:rsidRPr="00B71032">
        <w:t>SLKS</w:t>
      </w:r>
      <w:r w:rsidR="00F92B30">
        <w:t>’</w:t>
      </w:r>
      <w:r w:rsidRPr="00B71032">
        <w:t xml:space="preserve"> projektansvarlig</w:t>
      </w:r>
      <w:r w:rsidR="00F92B30">
        <w:t>e</w:t>
      </w:r>
      <w:r>
        <w:t xml:space="preserve"> for projektet</w:t>
      </w:r>
      <w:r w:rsidRPr="00B71032">
        <w:t>: Lars Freund</w:t>
      </w:r>
    </w:p>
    <w:p w:rsidR="00315156" w:rsidRPr="00B71032" w:rsidRDefault="00315156" w:rsidP="00315156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/>
        <w:textAlignment w:val="auto"/>
      </w:pPr>
      <w:r w:rsidRPr="00B71032">
        <w:t>Beskrivelse af den leverede ydelse</w:t>
      </w:r>
    </w:p>
    <w:p w:rsidR="00315156" w:rsidRDefault="00315156" w:rsidP="00315156"/>
    <w:p w:rsidR="00315156" w:rsidRPr="00B71032" w:rsidRDefault="00315156" w:rsidP="00315156">
      <w:r>
        <w:t>Kunden</w:t>
      </w:r>
      <w:r w:rsidRPr="00B71032">
        <w:t xml:space="preserve"> har ret til at afvise fakturaer</w:t>
      </w:r>
      <w:r w:rsidR="00F92B30">
        <w:t>,</w:t>
      </w:r>
      <w:r w:rsidRPr="00B71032">
        <w:t xml:space="preserve"> der ikke fremsendes i overensstemmelse med ovenstående. Leverandøren kan ikke pålægge faktureringsgebyr. </w:t>
      </w:r>
    </w:p>
    <w:sectPr w:rsidR="00315156" w:rsidRPr="00B71032" w:rsidSect="003548AA">
      <w:footerReference w:type="default" r:id="rId9"/>
      <w:headerReference w:type="first" r:id="rId10"/>
      <w:footerReference w:type="first" r:id="rId11"/>
      <w:pgSz w:w="11906" w:h="16838"/>
      <w:pgMar w:top="2466" w:right="1416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0D" w:rsidRDefault="00B4620D" w:rsidP="00C37D31">
      <w:pPr>
        <w:spacing w:line="240" w:lineRule="auto"/>
      </w:pPr>
      <w:r>
        <w:separator/>
      </w:r>
    </w:p>
  </w:endnote>
  <w:endnote w:type="continuationSeparator" w:id="0">
    <w:p w:rsidR="00B4620D" w:rsidRDefault="00B4620D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AA" w:rsidRPr="0019649A" w:rsidRDefault="00B4620D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3548AA">
          <w:rPr>
            <w:szCs w:val="14"/>
          </w:rPr>
          <w:t>Side</w:t>
        </w:r>
      </w:sdtContent>
    </w:sdt>
    <w:r w:rsidR="003548AA" w:rsidRPr="008A59A7">
      <w:rPr>
        <w:szCs w:val="14"/>
      </w:rPr>
      <w:t xml:space="preserve"> </w:t>
    </w:r>
    <w:r w:rsidR="00BD225A" w:rsidRPr="008A59A7">
      <w:rPr>
        <w:szCs w:val="14"/>
      </w:rPr>
      <w:fldChar w:fldCharType="begin"/>
    </w:r>
    <w:r w:rsidR="003548AA" w:rsidRPr="008A59A7">
      <w:rPr>
        <w:szCs w:val="14"/>
      </w:rPr>
      <w:instrText xml:space="preserve"> PAGE   \* MERGEFORMAT </w:instrText>
    </w:r>
    <w:r w:rsidR="00BD225A" w:rsidRPr="008A59A7">
      <w:rPr>
        <w:szCs w:val="14"/>
      </w:rPr>
      <w:fldChar w:fldCharType="separate"/>
    </w:r>
    <w:r w:rsidR="00673CEE">
      <w:rPr>
        <w:noProof/>
        <w:szCs w:val="14"/>
      </w:rPr>
      <w:t>8</w:t>
    </w:r>
    <w:r w:rsidR="00BD225A" w:rsidRPr="008A59A7">
      <w:rPr>
        <w:noProof/>
        <w:szCs w:val="14"/>
      </w:rPr>
      <w:fldChar w:fldCharType="end"/>
    </w:r>
    <w:r w:rsidR="003548AA" w:rsidRPr="008A59A7">
      <w:rPr>
        <w:noProof/>
        <w:szCs w:val="14"/>
      </w:rPr>
      <w:t>/</w:t>
    </w:r>
    <w:fldSimple w:instr=" NUMPAGES  \* Arabic  \* MERGEFORMAT ">
      <w:r w:rsidR="00673CEE" w:rsidRPr="00673CEE">
        <w:rPr>
          <w:noProof/>
          <w:szCs w:val="14"/>
        </w:rPr>
        <w:t>9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AA" w:rsidRPr="0019649A" w:rsidRDefault="00B4620D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3548AA">
          <w:rPr>
            <w:szCs w:val="14"/>
          </w:rPr>
          <w:t>Side</w:t>
        </w:r>
      </w:sdtContent>
    </w:sdt>
    <w:r w:rsidR="003548AA" w:rsidRPr="008A59A7">
      <w:rPr>
        <w:szCs w:val="14"/>
      </w:rPr>
      <w:t xml:space="preserve"> </w:t>
    </w:r>
    <w:r w:rsidR="00BD225A" w:rsidRPr="008A59A7">
      <w:rPr>
        <w:szCs w:val="14"/>
      </w:rPr>
      <w:fldChar w:fldCharType="begin"/>
    </w:r>
    <w:r w:rsidR="003548AA" w:rsidRPr="008A59A7">
      <w:rPr>
        <w:szCs w:val="14"/>
      </w:rPr>
      <w:instrText xml:space="preserve"> PAGE   \* MERGEFORMAT </w:instrText>
    </w:r>
    <w:r w:rsidR="00BD225A" w:rsidRPr="008A59A7">
      <w:rPr>
        <w:szCs w:val="14"/>
      </w:rPr>
      <w:fldChar w:fldCharType="separate"/>
    </w:r>
    <w:r w:rsidR="00673CEE">
      <w:rPr>
        <w:noProof/>
        <w:szCs w:val="14"/>
      </w:rPr>
      <w:t>1</w:t>
    </w:r>
    <w:r w:rsidR="00BD225A" w:rsidRPr="008A59A7">
      <w:rPr>
        <w:noProof/>
        <w:szCs w:val="14"/>
      </w:rPr>
      <w:fldChar w:fldCharType="end"/>
    </w:r>
    <w:r w:rsidR="003548AA" w:rsidRPr="008A59A7">
      <w:rPr>
        <w:noProof/>
        <w:szCs w:val="14"/>
      </w:rPr>
      <w:t>/</w:t>
    </w:r>
    <w:fldSimple w:instr=" NUMPAGES  \* Arabic  \* MERGEFORMAT ">
      <w:r w:rsidR="00673CEE" w:rsidRPr="00673CEE">
        <w:rPr>
          <w:noProof/>
          <w:szCs w:val="14"/>
        </w:rPr>
        <w:t>9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3548AA" w:rsidRPr="005C34E5" w:rsidRDefault="003548AA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0D" w:rsidRDefault="00B4620D" w:rsidP="00C37D31">
      <w:pPr>
        <w:spacing w:line="240" w:lineRule="auto"/>
      </w:pPr>
      <w:r>
        <w:separator/>
      </w:r>
    </w:p>
  </w:footnote>
  <w:footnote w:type="continuationSeparator" w:id="0">
    <w:p w:rsidR="00B4620D" w:rsidRDefault="00B4620D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AA" w:rsidRDefault="003548AA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2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31EA9"/>
    <w:multiLevelType w:val="hybridMultilevel"/>
    <w:tmpl w:val="ECCC0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4"/>
  </w:num>
  <w:num w:numId="16">
    <w:abstractNumId w:val="14"/>
  </w:num>
  <w:num w:numId="17">
    <w:abstractNumId w:val="22"/>
  </w:num>
  <w:num w:numId="18">
    <w:abstractNumId w:val="32"/>
  </w:num>
  <w:num w:numId="19">
    <w:abstractNumId w:val="33"/>
  </w:num>
  <w:num w:numId="20">
    <w:abstractNumId w:val="10"/>
  </w:num>
  <w:num w:numId="21">
    <w:abstractNumId w:val="23"/>
  </w:num>
  <w:num w:numId="22">
    <w:abstractNumId w:val="29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19"/>
  </w:num>
  <w:num w:numId="28">
    <w:abstractNumId w:val="16"/>
  </w:num>
  <w:num w:numId="29">
    <w:abstractNumId w:val="27"/>
  </w:num>
  <w:num w:numId="30">
    <w:abstractNumId w:val="13"/>
  </w:num>
  <w:num w:numId="31">
    <w:abstractNumId w:val="15"/>
  </w:num>
  <w:num w:numId="32">
    <w:abstractNumId w:val="28"/>
  </w:num>
  <w:num w:numId="33">
    <w:abstractNumId w:val="31"/>
  </w:num>
  <w:num w:numId="34">
    <w:abstractNumId w:val="3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AutoShape 4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65AF2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3D99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4FDF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B2D24"/>
    <w:rsid w:val="002B4A8B"/>
    <w:rsid w:val="002B6489"/>
    <w:rsid w:val="002B7F8B"/>
    <w:rsid w:val="002C1511"/>
    <w:rsid w:val="002C6203"/>
    <w:rsid w:val="002F10E3"/>
    <w:rsid w:val="0030080B"/>
    <w:rsid w:val="00300C14"/>
    <w:rsid w:val="00304159"/>
    <w:rsid w:val="003049EE"/>
    <w:rsid w:val="00313458"/>
    <w:rsid w:val="00315156"/>
    <w:rsid w:val="00335159"/>
    <w:rsid w:val="00347543"/>
    <w:rsid w:val="00351826"/>
    <w:rsid w:val="0035213E"/>
    <w:rsid w:val="00352CA2"/>
    <w:rsid w:val="003548AA"/>
    <w:rsid w:val="0035499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06787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22F1"/>
    <w:rsid w:val="005443BD"/>
    <w:rsid w:val="0054565F"/>
    <w:rsid w:val="0055426C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3CEE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513F8"/>
    <w:rsid w:val="00752D44"/>
    <w:rsid w:val="00762E46"/>
    <w:rsid w:val="007741AA"/>
    <w:rsid w:val="00777AEB"/>
    <w:rsid w:val="00780FD3"/>
    <w:rsid w:val="00785E7A"/>
    <w:rsid w:val="00790B5D"/>
    <w:rsid w:val="00795992"/>
    <w:rsid w:val="00795EEF"/>
    <w:rsid w:val="007C2E12"/>
    <w:rsid w:val="007C4BC3"/>
    <w:rsid w:val="007D1140"/>
    <w:rsid w:val="007E5ED2"/>
    <w:rsid w:val="00805FC4"/>
    <w:rsid w:val="00810830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7680B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47A83"/>
    <w:rsid w:val="00954CF7"/>
    <w:rsid w:val="00960FF8"/>
    <w:rsid w:val="009817A4"/>
    <w:rsid w:val="009857C6"/>
    <w:rsid w:val="00986994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9F3EDD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45B27"/>
    <w:rsid w:val="00B4620D"/>
    <w:rsid w:val="00B6424D"/>
    <w:rsid w:val="00B71DA7"/>
    <w:rsid w:val="00B754DD"/>
    <w:rsid w:val="00B7765E"/>
    <w:rsid w:val="00B83DAE"/>
    <w:rsid w:val="00B85A99"/>
    <w:rsid w:val="00B91F5C"/>
    <w:rsid w:val="00BD225A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5772"/>
    <w:rsid w:val="00C8674A"/>
    <w:rsid w:val="00CA683C"/>
    <w:rsid w:val="00CA6B78"/>
    <w:rsid w:val="00CB24A9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3F49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D1CC8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3A64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2B30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CC59-73D9-4469-BE72-809D1A3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107</TotalTime>
  <Pages>9</Pages>
  <Words>2329</Words>
  <Characters>14212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4</cp:revision>
  <cp:lastPrinted>2017-03-09T10:24:00Z</cp:lastPrinted>
  <dcterms:created xsi:type="dcterms:W3CDTF">2017-03-04T11:01:00Z</dcterms:created>
  <dcterms:modified xsi:type="dcterms:W3CDTF">2017-03-09T16:57:00Z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