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BF6" w:rsidRPr="00EE1E1E" w:rsidRDefault="009F7BF6" w:rsidP="009F7BF6">
      <w:pPr>
        <w:pBdr>
          <w:top w:val="single" w:sz="4" w:space="1" w:color="auto"/>
          <w:bottom w:val="single" w:sz="4" w:space="1" w:color="auto"/>
        </w:pBdr>
        <w:shd w:val="clear" w:color="auto" w:fill="CCCCCC"/>
        <w:rPr>
          <w:i/>
          <w:sz w:val="28"/>
          <w:szCs w:val="28"/>
        </w:rPr>
      </w:pPr>
      <w:r w:rsidRPr="00EE1E1E">
        <w:rPr>
          <w:i/>
          <w:sz w:val="28"/>
          <w:szCs w:val="28"/>
        </w:rPr>
        <w:t xml:space="preserve">Bilag 1L: </w:t>
      </w:r>
      <w:r w:rsidRPr="00EE1E1E">
        <w:rPr>
          <w:rFonts w:cs="LILAHJ+Garamond"/>
          <w:i/>
          <w:sz w:val="28"/>
          <w:szCs w:val="28"/>
        </w:rPr>
        <w:t>Foreløbig bodsaftale</w:t>
      </w:r>
    </w:p>
    <w:p w:rsidR="00BD5D89" w:rsidRPr="00EE1E1E" w:rsidRDefault="00BD5D89">
      <w:pPr>
        <w:pStyle w:val="Brdtekst"/>
        <w:rPr>
          <w:b/>
        </w:rPr>
      </w:pPr>
    </w:p>
    <w:p w:rsidR="00BD5D89" w:rsidRPr="00EE1E1E" w:rsidRDefault="00BD5D89">
      <w:pPr>
        <w:pStyle w:val="Brdtekst"/>
        <w:rPr>
          <w:b/>
        </w:rPr>
      </w:pPr>
    </w:p>
    <w:p w:rsidR="00BD5D89" w:rsidRPr="00EE1E1E" w:rsidRDefault="00BD5D89">
      <w:pPr>
        <w:pStyle w:val="Brdtekst"/>
        <w:rPr>
          <w:b/>
        </w:rPr>
      </w:pPr>
    </w:p>
    <w:p w:rsidR="00BD5D89" w:rsidRPr="00EE1E1E" w:rsidRDefault="00BD5D89">
      <w:pPr>
        <w:pStyle w:val="Brdtekst"/>
        <w:rPr>
          <w:b/>
          <w:sz w:val="29"/>
        </w:rPr>
      </w:pPr>
    </w:p>
    <w:p w:rsidR="00BD5D89" w:rsidRPr="00EE1E1E" w:rsidRDefault="00064EF9" w:rsidP="00C05A60">
      <w:pPr>
        <w:spacing w:before="64" w:line="295" w:lineRule="auto"/>
        <w:ind w:left="142" w:right="83" w:hanging="30"/>
        <w:rPr>
          <w:b/>
          <w:sz w:val="20"/>
          <w:szCs w:val="20"/>
        </w:rPr>
      </w:pPr>
      <w:r w:rsidRPr="00EE1E1E">
        <w:rPr>
          <w:b/>
          <w:sz w:val="20"/>
          <w:szCs w:val="20"/>
        </w:rPr>
        <w:t>Aftale mellem Radio- og tv-nævnet og &lt;till</w:t>
      </w:r>
      <w:r w:rsidR="00C05A60" w:rsidRPr="00EE1E1E">
        <w:rPr>
          <w:b/>
          <w:sz w:val="20"/>
          <w:szCs w:val="20"/>
        </w:rPr>
        <w:t xml:space="preserve">adelseshaver&gt; om bodssystem for </w:t>
      </w:r>
      <w:r w:rsidRPr="00EE1E1E">
        <w:rPr>
          <w:b/>
          <w:sz w:val="20"/>
          <w:szCs w:val="20"/>
        </w:rPr>
        <w:t xml:space="preserve">tilsidesættelse af vilkår for tilladelse til distribution af </w:t>
      </w:r>
      <w:r w:rsidR="00C05A60" w:rsidRPr="00EE1E1E">
        <w:rPr>
          <w:b/>
          <w:sz w:val="20"/>
          <w:szCs w:val="20"/>
        </w:rPr>
        <w:t>jordbaserede digitale tv-sendemuligheder og</w:t>
      </w:r>
      <w:r w:rsidR="000614C5" w:rsidRPr="00EE1E1E">
        <w:rPr>
          <w:b/>
          <w:sz w:val="20"/>
          <w:szCs w:val="20"/>
        </w:rPr>
        <w:t xml:space="preserve"> manglende efterlevelse af pålæg</w:t>
      </w:r>
      <w:r w:rsidR="00C05A60" w:rsidRPr="00EE1E1E">
        <w:rPr>
          <w:b/>
          <w:sz w:val="20"/>
          <w:szCs w:val="20"/>
        </w:rPr>
        <w:t xml:space="preserve"> fra Radio- og tv-nævnet</w:t>
      </w:r>
    </w:p>
    <w:p w:rsidR="00BD5D89" w:rsidRPr="00EE1E1E" w:rsidRDefault="00BD5D89" w:rsidP="00C05A60">
      <w:pPr>
        <w:pStyle w:val="Brdtekst"/>
        <w:spacing w:before="9"/>
        <w:rPr>
          <w:b/>
        </w:rPr>
      </w:pPr>
    </w:p>
    <w:p w:rsidR="00BD5D89" w:rsidRPr="00EE1E1E" w:rsidRDefault="00C05A60">
      <w:pPr>
        <w:pStyle w:val="Brdtekst"/>
        <w:spacing w:line="295" w:lineRule="auto"/>
        <w:ind w:left="112" w:right="269"/>
      </w:pPr>
      <w:r w:rsidRPr="00EE1E1E">
        <w:t>Af § 14</w:t>
      </w:r>
      <w:r w:rsidR="00064EF9" w:rsidRPr="00EE1E1E">
        <w:t xml:space="preserve"> i bekendtgørelse nr. </w:t>
      </w:r>
      <w:r w:rsidRPr="00EE1E1E">
        <w:t>1</w:t>
      </w:r>
      <w:r w:rsidR="00EE1E1E">
        <w:t>441</w:t>
      </w:r>
      <w:r w:rsidRPr="00EE1E1E">
        <w:t xml:space="preserve"> af </w:t>
      </w:r>
      <w:r w:rsidR="00EE1E1E">
        <w:t>8. december</w:t>
      </w:r>
      <w:r w:rsidRPr="00EE1E1E">
        <w:t xml:space="preserve"> 2017</w:t>
      </w:r>
      <w:r w:rsidR="00064EF9" w:rsidRPr="00EE1E1E">
        <w:t xml:space="preserve"> om Radio- og tv-nævnets udbud af </w:t>
      </w:r>
      <w:r w:rsidRPr="00EE1E1E">
        <w:t>jordbaserede digitale tv-sendemuligheder</w:t>
      </w:r>
      <w:r w:rsidR="00064EF9" w:rsidRPr="00EE1E1E">
        <w:t xml:space="preserve"> (bekendtgørelsen) fremgår, at ansøgere skal aflevere en underskre</w:t>
      </w:r>
      <w:bookmarkStart w:id="0" w:name="_GoBack"/>
      <w:bookmarkEnd w:id="0"/>
      <w:r w:rsidR="00064EF9" w:rsidRPr="00EE1E1E">
        <w:t>vet foreløbig bodsaftale, der skal fremgå af udbudsmaterialet.</w:t>
      </w:r>
    </w:p>
    <w:p w:rsidR="00947D6F" w:rsidRPr="00EE1E1E" w:rsidRDefault="00947D6F">
      <w:pPr>
        <w:pStyle w:val="Brdtekst"/>
        <w:spacing w:line="295" w:lineRule="auto"/>
        <w:ind w:left="112" w:right="269"/>
      </w:pPr>
    </w:p>
    <w:p w:rsidR="00BD5D89" w:rsidRPr="00EE1E1E" w:rsidRDefault="00064EF9">
      <w:pPr>
        <w:pStyle w:val="Brdtekst"/>
        <w:spacing w:before="1" w:line="295" w:lineRule="auto"/>
        <w:ind w:left="112" w:right="236"/>
      </w:pPr>
      <w:r w:rsidRPr="00EE1E1E">
        <w:t>Den foreløbige bo</w:t>
      </w:r>
      <w:r w:rsidR="00837A0D" w:rsidRPr="00EE1E1E">
        <w:t>dsaftale skal pålægge tilladelseshaver</w:t>
      </w:r>
      <w:r w:rsidRPr="00EE1E1E">
        <w:t xml:space="preserve"> bod for manglende overholdelse af vilkår for tilladelsen </w:t>
      </w:r>
      <w:r w:rsidR="00113E2F" w:rsidRPr="00EE1E1E">
        <w:t xml:space="preserve">jf. bekendtgørelsens § 23, stk. 1, </w:t>
      </w:r>
      <w:r w:rsidRPr="00EE1E1E">
        <w:t>og manglende efterlevelse a</w:t>
      </w:r>
      <w:r w:rsidR="00113E2F" w:rsidRPr="00EE1E1E">
        <w:t>f pålæg fra Radio- og tv-nævnet.</w:t>
      </w:r>
      <w:r w:rsidRPr="00EE1E1E">
        <w:t xml:space="preserve"> Indholdet af bodsaftalen aftales endeligt mellem Radio- og tv- nævnet og den valgte </w:t>
      </w:r>
      <w:r w:rsidR="00837A0D" w:rsidRPr="00EE1E1E">
        <w:t>tilladelseshaver</w:t>
      </w:r>
      <w:r w:rsidRPr="00EE1E1E">
        <w:t xml:space="preserve"> ved underskrift på nærværende bodsaftale.</w:t>
      </w:r>
    </w:p>
    <w:p w:rsidR="00BD5D89" w:rsidRPr="00EE1E1E" w:rsidRDefault="00BD5D89">
      <w:pPr>
        <w:pStyle w:val="Brdtekst"/>
        <w:spacing w:before="9"/>
      </w:pPr>
    </w:p>
    <w:p w:rsidR="00BD5D89" w:rsidRPr="00EE1E1E" w:rsidRDefault="00D048FD">
      <w:pPr>
        <w:pStyle w:val="Brdtekst"/>
        <w:spacing w:line="295" w:lineRule="auto"/>
        <w:ind w:left="111" w:right="168" w:firstLine="1"/>
      </w:pPr>
      <w:r w:rsidRPr="00EE1E1E">
        <w:t xml:space="preserve">Radio- og tv-nævnet og </w:t>
      </w:r>
      <w:r w:rsidR="00837A0D" w:rsidRPr="00EE1E1E">
        <w:t>&lt;</w:t>
      </w:r>
      <w:r w:rsidRPr="00EE1E1E">
        <w:t>tilladelseshaver</w:t>
      </w:r>
      <w:r w:rsidR="00837A0D" w:rsidRPr="00EE1E1E">
        <w:t>&gt;</w:t>
      </w:r>
      <w:r w:rsidR="00642170" w:rsidRPr="00EE1E1E">
        <w:t xml:space="preserve"> </w:t>
      </w:r>
      <w:r w:rsidR="003262FF" w:rsidRPr="00EE1E1E">
        <w:t>(</w:t>
      </w:r>
      <w:r w:rsidR="00642170" w:rsidRPr="00EE1E1E">
        <w:t xml:space="preserve">i det følgende </w:t>
      </w:r>
      <w:proofErr w:type="gramStart"/>
      <w:r w:rsidR="00642170" w:rsidRPr="00EE1E1E">
        <w:t>benævnt</w:t>
      </w:r>
      <w:proofErr w:type="gramEnd"/>
      <w:r w:rsidR="00642170" w:rsidRPr="00EE1E1E">
        <w:t xml:space="preserve"> tilladelseshaver</w:t>
      </w:r>
      <w:r w:rsidR="003262FF" w:rsidRPr="00EE1E1E">
        <w:t>)</w:t>
      </w:r>
      <w:r w:rsidR="00642170" w:rsidRPr="00EE1E1E">
        <w:t>,</w:t>
      </w:r>
      <w:r w:rsidR="00064EF9" w:rsidRPr="00EE1E1E">
        <w:t xml:space="preserve"> er enige om, at radio- og fjernsynsloven, jf. lovbekendtgørelse nr. 255 af 20. marts 2014 som ændret ved lov nr. 1517 af 27. december 2014 og ved lov nr. 643 af 8. juni 2016 § 1 (loven) med tilhørende forskrifter, uanset indholdet af nærværende aftale, finder anvendelse og danner grundlag for de forpligtelser og ret</w:t>
      </w:r>
      <w:r w:rsidR="003262FF" w:rsidRPr="00EE1E1E">
        <w:t>tigheder, som t</w:t>
      </w:r>
      <w:r w:rsidR="00642170" w:rsidRPr="00EE1E1E">
        <w:t>illadelseshaver</w:t>
      </w:r>
      <w:r w:rsidR="00064EF9" w:rsidRPr="00EE1E1E">
        <w:t xml:space="preserve"> er omfattet af, og for de opgaver og kompetencer, som Radio- og tv-nævnet har. Fastsættelse og betaling af en økonomisk bod for et givet vilkår udelukker således ikke, at forholdet kan indgå i Radio- og tv-nævnets behandling af sager om inddragelse af tilladelsen, jf. bekendtgørelsens § 2</w:t>
      </w:r>
      <w:r w:rsidR="00C05A60" w:rsidRPr="00EE1E1E">
        <w:t>3</w:t>
      </w:r>
      <w:r w:rsidR="00064EF9" w:rsidRPr="00EE1E1E">
        <w:t>, stk. 2.</w:t>
      </w:r>
    </w:p>
    <w:p w:rsidR="00BD5D89" w:rsidRPr="00EE1E1E" w:rsidRDefault="00BD5D89">
      <w:pPr>
        <w:pStyle w:val="Brdtekst"/>
        <w:spacing w:before="9"/>
      </w:pPr>
    </w:p>
    <w:p w:rsidR="00BD5D89" w:rsidRPr="00EE1E1E" w:rsidRDefault="00064EF9">
      <w:pPr>
        <w:pStyle w:val="Brdtekst"/>
        <w:spacing w:line="295" w:lineRule="auto"/>
        <w:ind w:left="111" w:right="1193"/>
      </w:pPr>
      <w:r w:rsidRPr="00EE1E1E">
        <w:t>På denne baggrund har Radio- og</w:t>
      </w:r>
      <w:r w:rsidR="003262FF" w:rsidRPr="00EE1E1E">
        <w:t xml:space="preserve"> tv-nævnet og tilladelseshaver </w:t>
      </w:r>
      <w:r w:rsidRPr="00EE1E1E">
        <w:t>indgået følgende aftale:</w:t>
      </w:r>
    </w:p>
    <w:p w:rsidR="00BD5D89" w:rsidRPr="00EE1E1E" w:rsidRDefault="00BD5D89">
      <w:pPr>
        <w:pStyle w:val="Brdtekst"/>
        <w:spacing w:before="9"/>
      </w:pPr>
    </w:p>
    <w:p w:rsidR="0059354B" w:rsidRPr="00EE1E1E" w:rsidRDefault="00064EF9" w:rsidP="003501EF">
      <w:pPr>
        <w:pStyle w:val="Brdtekst"/>
        <w:spacing w:line="295" w:lineRule="auto"/>
        <w:ind w:left="3920" w:right="3734" w:firstLine="5"/>
        <w:jc w:val="center"/>
      </w:pPr>
      <w:r w:rsidRPr="00EE1E1E">
        <w:t xml:space="preserve">Kapitel 1 </w:t>
      </w:r>
    </w:p>
    <w:p w:rsidR="0059354B" w:rsidRPr="00EE1E1E" w:rsidRDefault="0059354B" w:rsidP="003501EF">
      <w:pPr>
        <w:pStyle w:val="Brdtekst"/>
        <w:spacing w:line="295" w:lineRule="auto"/>
        <w:ind w:left="3920" w:right="3734" w:firstLine="5"/>
        <w:jc w:val="center"/>
      </w:pPr>
    </w:p>
    <w:p w:rsidR="00BD5D89" w:rsidRPr="00EE1E1E" w:rsidRDefault="00064EF9" w:rsidP="003501EF">
      <w:pPr>
        <w:pStyle w:val="Brdtekst"/>
        <w:spacing w:line="295" w:lineRule="auto"/>
        <w:ind w:left="3920" w:right="3734" w:firstLine="5"/>
        <w:jc w:val="center"/>
      </w:pPr>
      <w:r w:rsidRPr="00EE1E1E">
        <w:rPr>
          <w:w w:val="95"/>
        </w:rPr>
        <w:t>Anvendelsesområde</w:t>
      </w:r>
    </w:p>
    <w:p w:rsidR="00BD5D89" w:rsidRPr="00EE1E1E" w:rsidRDefault="00BD5D89" w:rsidP="003501EF">
      <w:pPr>
        <w:pStyle w:val="Brdtekst"/>
        <w:spacing w:before="9"/>
        <w:ind w:right="3734"/>
      </w:pPr>
    </w:p>
    <w:p w:rsidR="00BD5D89" w:rsidRPr="00EE1E1E" w:rsidRDefault="00064EF9">
      <w:pPr>
        <w:pStyle w:val="Listeafsnit"/>
        <w:numPr>
          <w:ilvl w:val="0"/>
          <w:numId w:val="2"/>
        </w:numPr>
        <w:tabs>
          <w:tab w:val="left" w:pos="381"/>
        </w:tabs>
        <w:ind w:firstLine="0"/>
        <w:rPr>
          <w:sz w:val="20"/>
          <w:szCs w:val="20"/>
        </w:rPr>
      </w:pPr>
      <w:r w:rsidRPr="00EE1E1E">
        <w:rPr>
          <w:sz w:val="20"/>
          <w:szCs w:val="20"/>
        </w:rPr>
        <w:t>R</w:t>
      </w:r>
      <w:r w:rsidR="003262FF" w:rsidRPr="00EE1E1E">
        <w:rPr>
          <w:sz w:val="20"/>
          <w:szCs w:val="20"/>
        </w:rPr>
        <w:t>adio- og tv-nævnet kan pålægge tilladelseshaver</w:t>
      </w:r>
      <w:r w:rsidRPr="00EE1E1E">
        <w:rPr>
          <w:sz w:val="20"/>
          <w:szCs w:val="20"/>
        </w:rPr>
        <w:t xml:space="preserve"> bod for </w:t>
      </w:r>
      <w:r w:rsidR="00113E2F" w:rsidRPr="00EE1E1E">
        <w:rPr>
          <w:sz w:val="20"/>
          <w:szCs w:val="20"/>
        </w:rPr>
        <w:t xml:space="preserve">overtrædelse </w:t>
      </w:r>
    </w:p>
    <w:p w:rsidR="00BD5D89" w:rsidRPr="00EE1E1E" w:rsidRDefault="00064EF9">
      <w:pPr>
        <w:pStyle w:val="Brdtekst"/>
        <w:spacing w:before="57" w:line="295" w:lineRule="auto"/>
        <w:ind w:left="111" w:right="327"/>
      </w:pPr>
      <w:r w:rsidRPr="00EE1E1E">
        <w:t>af tilladelsesvilkår</w:t>
      </w:r>
      <w:r w:rsidR="00113E2F" w:rsidRPr="00EE1E1E">
        <w:t>, jf. bekendtgørelsens § 23, stk. 1,</w:t>
      </w:r>
      <w:r w:rsidRPr="00EE1E1E">
        <w:t xml:space="preserve"> og</w:t>
      </w:r>
      <w:r w:rsidR="00113E2F" w:rsidRPr="00EE1E1E">
        <w:t xml:space="preserve"> manglende</w:t>
      </w:r>
      <w:r w:rsidRPr="00EE1E1E">
        <w:t xml:space="preserve"> efterlevelse af pålæg uds</w:t>
      </w:r>
      <w:r w:rsidR="00113E2F" w:rsidRPr="00EE1E1E">
        <w:t>tedt af Radio- og tv-nævnet.</w:t>
      </w:r>
      <w:r w:rsidRPr="00EE1E1E">
        <w:t xml:space="preserve"> </w:t>
      </w:r>
      <w:r w:rsidR="00113E2F" w:rsidRPr="00EE1E1E">
        <w:t xml:space="preserve">(I </w:t>
      </w:r>
      <w:r w:rsidRPr="00EE1E1E">
        <w:t>det følgende benævnt "vilkår").</w:t>
      </w:r>
    </w:p>
    <w:p w:rsidR="00BD5D89" w:rsidRPr="00EE1E1E" w:rsidRDefault="00BD5D89">
      <w:pPr>
        <w:pStyle w:val="Brdtekst"/>
        <w:spacing w:before="9"/>
      </w:pPr>
    </w:p>
    <w:p w:rsidR="00BD5D89" w:rsidRPr="00EE1E1E" w:rsidRDefault="00064EF9">
      <w:pPr>
        <w:pStyle w:val="Listeafsnit"/>
        <w:numPr>
          <w:ilvl w:val="0"/>
          <w:numId w:val="2"/>
        </w:numPr>
        <w:tabs>
          <w:tab w:val="left" w:pos="380"/>
        </w:tabs>
        <w:ind w:left="379"/>
        <w:rPr>
          <w:sz w:val="20"/>
          <w:szCs w:val="20"/>
        </w:rPr>
      </w:pPr>
      <w:r w:rsidRPr="00EE1E1E">
        <w:rPr>
          <w:sz w:val="20"/>
          <w:szCs w:val="20"/>
        </w:rPr>
        <w:t>Nærværende aftale regulerer, hvorledes boden skal fastsættes og</w:t>
      </w:r>
      <w:r w:rsidRPr="00EE1E1E">
        <w:rPr>
          <w:spacing w:val="-24"/>
          <w:sz w:val="20"/>
          <w:szCs w:val="20"/>
        </w:rPr>
        <w:t xml:space="preserve"> </w:t>
      </w:r>
      <w:r w:rsidRPr="00EE1E1E">
        <w:rPr>
          <w:sz w:val="20"/>
          <w:szCs w:val="20"/>
        </w:rPr>
        <w:t>betales.</w:t>
      </w:r>
    </w:p>
    <w:p w:rsidR="003501EF" w:rsidRPr="00EE1E1E" w:rsidRDefault="003501EF">
      <w:pPr>
        <w:pStyle w:val="Brdtekst"/>
      </w:pPr>
    </w:p>
    <w:p w:rsidR="003501EF" w:rsidRPr="00EE1E1E" w:rsidRDefault="003501EF">
      <w:pPr>
        <w:pStyle w:val="Brdtekst"/>
      </w:pPr>
    </w:p>
    <w:p w:rsidR="00B22C03" w:rsidRPr="00EE1E1E" w:rsidRDefault="00064EF9" w:rsidP="00B22C03">
      <w:pPr>
        <w:pStyle w:val="Brdtekst"/>
        <w:spacing w:before="170" w:line="295" w:lineRule="auto"/>
        <w:ind w:left="3218" w:right="3143"/>
        <w:jc w:val="center"/>
      </w:pPr>
      <w:r w:rsidRPr="00EE1E1E">
        <w:t>Kapitel 2</w:t>
      </w:r>
    </w:p>
    <w:p w:rsidR="00BD5D89" w:rsidRPr="00EE1E1E" w:rsidRDefault="00064EF9" w:rsidP="00B22C03">
      <w:pPr>
        <w:pStyle w:val="Brdtekst"/>
        <w:spacing w:before="170" w:line="295" w:lineRule="auto"/>
        <w:ind w:left="3218" w:right="3143"/>
        <w:jc w:val="center"/>
      </w:pPr>
      <w:r w:rsidRPr="00EE1E1E">
        <w:t>Fastsættelse af og betaling af</w:t>
      </w:r>
      <w:r w:rsidR="00B22C03" w:rsidRPr="00EE1E1E">
        <w:rPr>
          <w:spacing w:val="-10"/>
        </w:rPr>
        <w:t xml:space="preserve"> </w:t>
      </w:r>
      <w:r w:rsidRPr="00EE1E1E">
        <w:t>bod</w:t>
      </w:r>
    </w:p>
    <w:p w:rsidR="00BD5D89" w:rsidRPr="00EE1E1E" w:rsidRDefault="00BD5D89" w:rsidP="00B22C03">
      <w:pPr>
        <w:pStyle w:val="Brdtekst"/>
        <w:spacing w:before="9"/>
        <w:jc w:val="center"/>
      </w:pPr>
    </w:p>
    <w:p w:rsidR="00BD5D89" w:rsidRPr="00EE1E1E" w:rsidRDefault="00064EF9">
      <w:pPr>
        <w:pStyle w:val="Listeafsnit"/>
        <w:numPr>
          <w:ilvl w:val="0"/>
          <w:numId w:val="2"/>
        </w:numPr>
        <w:tabs>
          <w:tab w:val="left" w:pos="380"/>
        </w:tabs>
        <w:spacing w:line="295" w:lineRule="auto"/>
        <w:ind w:right="583" w:firstLine="0"/>
        <w:rPr>
          <w:sz w:val="20"/>
          <w:szCs w:val="20"/>
        </w:rPr>
      </w:pPr>
      <w:r w:rsidRPr="00EE1E1E">
        <w:rPr>
          <w:sz w:val="20"/>
          <w:szCs w:val="20"/>
        </w:rPr>
        <w:lastRenderedPageBreak/>
        <w:t>Radio- og tv-nævnet beslutter, om det vil optage en sag om tilsidesættelse af vilkår for tilladelsen</w:t>
      </w:r>
      <w:r w:rsidR="000614C5" w:rsidRPr="00EE1E1E">
        <w:rPr>
          <w:sz w:val="20"/>
          <w:szCs w:val="20"/>
        </w:rPr>
        <w:t xml:space="preserve"> mv.</w:t>
      </w:r>
      <w:r w:rsidRPr="00EE1E1E">
        <w:rPr>
          <w:sz w:val="20"/>
          <w:szCs w:val="20"/>
        </w:rPr>
        <w:t xml:space="preserve"> til</w:t>
      </w:r>
      <w:r w:rsidRPr="00EE1E1E">
        <w:rPr>
          <w:spacing w:val="-14"/>
          <w:sz w:val="20"/>
          <w:szCs w:val="20"/>
        </w:rPr>
        <w:t xml:space="preserve"> </w:t>
      </w:r>
      <w:r w:rsidRPr="00EE1E1E">
        <w:rPr>
          <w:sz w:val="20"/>
          <w:szCs w:val="20"/>
        </w:rPr>
        <w:t>behandling.</w:t>
      </w:r>
    </w:p>
    <w:p w:rsidR="00BD5D89" w:rsidRPr="00EE1E1E" w:rsidRDefault="00BD5D89">
      <w:pPr>
        <w:pStyle w:val="Brdtekst"/>
        <w:spacing w:before="9"/>
      </w:pPr>
    </w:p>
    <w:p w:rsidR="00BD5D89" w:rsidRPr="00EE1E1E" w:rsidRDefault="00064EF9">
      <w:pPr>
        <w:pStyle w:val="Listeafsnit"/>
        <w:numPr>
          <w:ilvl w:val="0"/>
          <w:numId w:val="2"/>
        </w:numPr>
        <w:tabs>
          <w:tab w:val="left" w:pos="380"/>
        </w:tabs>
        <w:spacing w:line="295" w:lineRule="auto"/>
        <w:ind w:left="110" w:right="318" w:firstLine="1"/>
        <w:rPr>
          <w:sz w:val="20"/>
          <w:szCs w:val="20"/>
        </w:rPr>
      </w:pPr>
      <w:r w:rsidRPr="00EE1E1E">
        <w:rPr>
          <w:sz w:val="20"/>
          <w:szCs w:val="20"/>
        </w:rPr>
        <w:t xml:space="preserve">Til brug for Radio- og tv-nævnets behandling af sagen indhenter nævnet en skriftlig </w:t>
      </w:r>
      <w:r w:rsidR="003262FF" w:rsidRPr="00EE1E1E">
        <w:rPr>
          <w:sz w:val="20"/>
          <w:szCs w:val="20"/>
        </w:rPr>
        <w:t>udtalelse fra tilladelseshaver</w:t>
      </w:r>
      <w:r w:rsidRPr="00EE1E1E">
        <w:rPr>
          <w:sz w:val="20"/>
          <w:szCs w:val="20"/>
        </w:rPr>
        <w:t>. Radio- og tv-nævnet kan fastsætte en frist for afgivelsen af en</w:t>
      </w:r>
      <w:r w:rsidRPr="00EE1E1E">
        <w:rPr>
          <w:spacing w:val="-6"/>
          <w:sz w:val="20"/>
          <w:szCs w:val="20"/>
        </w:rPr>
        <w:t xml:space="preserve"> </w:t>
      </w:r>
      <w:r w:rsidRPr="00EE1E1E">
        <w:rPr>
          <w:sz w:val="20"/>
          <w:szCs w:val="20"/>
        </w:rPr>
        <w:t>udtalelse.</w:t>
      </w:r>
    </w:p>
    <w:p w:rsidR="00BD5D89" w:rsidRPr="00EE1E1E" w:rsidRDefault="003262FF">
      <w:pPr>
        <w:pStyle w:val="Listeafsnit"/>
        <w:numPr>
          <w:ilvl w:val="0"/>
          <w:numId w:val="2"/>
        </w:numPr>
        <w:tabs>
          <w:tab w:val="left" w:pos="382"/>
        </w:tabs>
        <w:spacing w:before="142"/>
        <w:ind w:left="381"/>
        <w:rPr>
          <w:sz w:val="20"/>
          <w:szCs w:val="20"/>
        </w:rPr>
      </w:pPr>
      <w:r w:rsidRPr="00EE1E1E">
        <w:rPr>
          <w:sz w:val="20"/>
          <w:szCs w:val="20"/>
        </w:rPr>
        <w:t>Tilladelseshaver</w:t>
      </w:r>
      <w:r w:rsidR="00064EF9" w:rsidRPr="00EE1E1E">
        <w:rPr>
          <w:sz w:val="20"/>
          <w:szCs w:val="20"/>
        </w:rPr>
        <w:t xml:space="preserve"> er forpligtet til at meddele Radio- og tv-nævnet de</w:t>
      </w:r>
      <w:r w:rsidR="00064EF9" w:rsidRPr="00EE1E1E">
        <w:rPr>
          <w:spacing w:val="-31"/>
          <w:sz w:val="20"/>
          <w:szCs w:val="20"/>
        </w:rPr>
        <w:t xml:space="preserve"> </w:t>
      </w:r>
      <w:r w:rsidR="00064EF9" w:rsidRPr="00EE1E1E">
        <w:rPr>
          <w:sz w:val="20"/>
          <w:szCs w:val="20"/>
        </w:rPr>
        <w:t>oplysninger</w:t>
      </w:r>
    </w:p>
    <w:p w:rsidR="00BD5D89" w:rsidRPr="00EE1E1E" w:rsidRDefault="00064EF9">
      <w:pPr>
        <w:pStyle w:val="Brdtekst"/>
        <w:spacing w:before="57" w:line="295" w:lineRule="auto"/>
        <w:ind w:left="111" w:right="90"/>
      </w:pPr>
      <w:r w:rsidRPr="00EE1E1E">
        <w:t xml:space="preserve">og aflevere de dokumenter, som nævnet til brug for behandlingen af en sag i </w:t>
      </w:r>
      <w:r w:rsidR="003262FF" w:rsidRPr="00EE1E1E">
        <w:t>henhold til denne aftale beder tilladelseshaver</w:t>
      </w:r>
      <w:r w:rsidRPr="00EE1E1E">
        <w:t xml:space="preserve"> om at udlevere eller tilvejebringe. Radio- og tv-nævnet kan fastsætte en frist for afgivelsen af sådanne oplysninger eller dokumenter.</w:t>
      </w:r>
    </w:p>
    <w:p w:rsidR="00BD5D89" w:rsidRPr="00EE1E1E" w:rsidRDefault="00BD5D89">
      <w:pPr>
        <w:pStyle w:val="Brdtekst"/>
        <w:spacing w:before="9"/>
      </w:pPr>
    </w:p>
    <w:p w:rsidR="00BD5D89" w:rsidRPr="00EE1E1E" w:rsidRDefault="00064EF9">
      <w:pPr>
        <w:pStyle w:val="Listeafsnit"/>
        <w:numPr>
          <w:ilvl w:val="0"/>
          <w:numId w:val="2"/>
        </w:numPr>
        <w:tabs>
          <w:tab w:val="left" w:pos="381"/>
        </w:tabs>
        <w:spacing w:line="295" w:lineRule="auto"/>
        <w:ind w:right="382" w:firstLine="0"/>
        <w:rPr>
          <w:sz w:val="20"/>
          <w:szCs w:val="20"/>
        </w:rPr>
      </w:pPr>
      <w:r w:rsidRPr="00EE1E1E">
        <w:rPr>
          <w:sz w:val="20"/>
          <w:szCs w:val="20"/>
        </w:rPr>
        <w:t>Radio- og tv-n</w:t>
      </w:r>
      <w:r w:rsidR="003262FF" w:rsidRPr="00EE1E1E">
        <w:rPr>
          <w:sz w:val="20"/>
          <w:szCs w:val="20"/>
        </w:rPr>
        <w:t>ævnet kan beslutte at indkalde tilladelseshaver</w:t>
      </w:r>
      <w:r w:rsidRPr="00EE1E1E">
        <w:rPr>
          <w:sz w:val="20"/>
          <w:szCs w:val="20"/>
        </w:rPr>
        <w:t xml:space="preserve"> til en nærmere mundtlig redegørelse og</w:t>
      </w:r>
      <w:r w:rsidRPr="00EE1E1E">
        <w:rPr>
          <w:spacing w:val="-10"/>
          <w:sz w:val="20"/>
          <w:szCs w:val="20"/>
        </w:rPr>
        <w:t xml:space="preserve"> </w:t>
      </w:r>
      <w:r w:rsidRPr="00EE1E1E">
        <w:rPr>
          <w:sz w:val="20"/>
          <w:szCs w:val="20"/>
        </w:rPr>
        <w:t>forhandling.</w:t>
      </w:r>
    </w:p>
    <w:p w:rsidR="00BD5D89" w:rsidRPr="00EE1E1E" w:rsidRDefault="00BD5D89">
      <w:pPr>
        <w:pStyle w:val="Brdtekst"/>
        <w:spacing w:before="9"/>
      </w:pPr>
    </w:p>
    <w:p w:rsidR="00BD5D89" w:rsidRPr="00EE1E1E" w:rsidRDefault="00064EF9">
      <w:pPr>
        <w:pStyle w:val="Listeafsnit"/>
        <w:numPr>
          <w:ilvl w:val="0"/>
          <w:numId w:val="2"/>
        </w:numPr>
        <w:tabs>
          <w:tab w:val="left" w:pos="380"/>
        </w:tabs>
        <w:spacing w:line="295" w:lineRule="auto"/>
        <w:ind w:right="817" w:firstLine="0"/>
        <w:rPr>
          <w:sz w:val="20"/>
          <w:szCs w:val="20"/>
        </w:rPr>
      </w:pPr>
      <w:r w:rsidRPr="00EE1E1E">
        <w:rPr>
          <w:sz w:val="20"/>
          <w:szCs w:val="20"/>
        </w:rPr>
        <w:t>Radio- og tv-nævnets til enhver tid gældende forretningsorden finder anvendelse ved behandling af sager i henhold til denne</w:t>
      </w:r>
      <w:r w:rsidRPr="00EE1E1E">
        <w:rPr>
          <w:spacing w:val="-15"/>
          <w:sz w:val="20"/>
          <w:szCs w:val="20"/>
        </w:rPr>
        <w:t xml:space="preserve"> </w:t>
      </w:r>
      <w:r w:rsidRPr="00EE1E1E">
        <w:rPr>
          <w:sz w:val="20"/>
          <w:szCs w:val="20"/>
        </w:rPr>
        <w:t>aftale.</w:t>
      </w:r>
    </w:p>
    <w:p w:rsidR="00DB0C8B" w:rsidRPr="00EE1E1E" w:rsidRDefault="00DB0C8B" w:rsidP="00DB0C8B">
      <w:pPr>
        <w:pStyle w:val="Listeafsnit"/>
        <w:rPr>
          <w:sz w:val="20"/>
          <w:szCs w:val="20"/>
        </w:rPr>
      </w:pPr>
    </w:p>
    <w:p w:rsidR="00BD5D89" w:rsidRPr="00EE1E1E" w:rsidRDefault="00DB0C8B" w:rsidP="00DB0C8B">
      <w:pPr>
        <w:pStyle w:val="Listeafsnit"/>
        <w:numPr>
          <w:ilvl w:val="0"/>
          <w:numId w:val="2"/>
        </w:numPr>
        <w:tabs>
          <w:tab w:val="left" w:pos="380"/>
        </w:tabs>
        <w:spacing w:before="57" w:line="295" w:lineRule="auto"/>
        <w:ind w:left="126" w:right="244" w:firstLine="0"/>
        <w:rPr>
          <w:sz w:val="20"/>
          <w:szCs w:val="20"/>
        </w:rPr>
      </w:pPr>
      <w:r w:rsidRPr="00EE1E1E">
        <w:rPr>
          <w:sz w:val="20"/>
          <w:szCs w:val="20"/>
        </w:rPr>
        <w:t>Radio</w:t>
      </w:r>
      <w:r w:rsidR="00064EF9" w:rsidRPr="00EE1E1E">
        <w:rPr>
          <w:sz w:val="20"/>
          <w:szCs w:val="20"/>
        </w:rPr>
        <w:t>- og tv-nævnet afslutter sin behandling af en sag med at træffe afgørelse om,</w:t>
      </w:r>
      <w:r w:rsidR="00064EF9" w:rsidRPr="00EE1E1E">
        <w:rPr>
          <w:spacing w:val="-32"/>
          <w:sz w:val="20"/>
          <w:szCs w:val="20"/>
        </w:rPr>
        <w:t xml:space="preserve"> </w:t>
      </w:r>
      <w:r w:rsidR="00064EF9" w:rsidRPr="00EE1E1E">
        <w:rPr>
          <w:sz w:val="20"/>
          <w:szCs w:val="20"/>
        </w:rPr>
        <w:t>hvorvidt</w:t>
      </w:r>
      <w:r w:rsidR="003501EF" w:rsidRPr="00EE1E1E">
        <w:rPr>
          <w:sz w:val="20"/>
          <w:szCs w:val="20"/>
        </w:rPr>
        <w:t xml:space="preserve"> </w:t>
      </w:r>
      <w:r w:rsidR="003262FF" w:rsidRPr="00EE1E1E">
        <w:rPr>
          <w:sz w:val="20"/>
          <w:szCs w:val="20"/>
        </w:rPr>
        <w:t>tilladelseshaver</w:t>
      </w:r>
      <w:r w:rsidR="00064EF9" w:rsidRPr="00EE1E1E">
        <w:rPr>
          <w:sz w:val="20"/>
          <w:szCs w:val="20"/>
        </w:rPr>
        <w:t xml:space="preserve"> har tilsidesat et eller flere vilkår for tilladelse til distribution af </w:t>
      </w:r>
      <w:r w:rsidR="00C05A60" w:rsidRPr="00EE1E1E">
        <w:rPr>
          <w:sz w:val="20"/>
          <w:szCs w:val="20"/>
        </w:rPr>
        <w:t>jordbaserede digitale tv-sendemuligheder</w:t>
      </w:r>
      <w:r w:rsidR="000614C5" w:rsidRPr="00EE1E1E">
        <w:rPr>
          <w:sz w:val="20"/>
          <w:szCs w:val="20"/>
        </w:rPr>
        <w:t xml:space="preserve">. </w:t>
      </w:r>
      <w:r w:rsidR="00064EF9" w:rsidRPr="00EE1E1E">
        <w:rPr>
          <w:sz w:val="20"/>
          <w:szCs w:val="20"/>
        </w:rPr>
        <w:t>Hvis nævnet vurderer, at en tilsidesættelse</w:t>
      </w:r>
      <w:r w:rsidR="000614C5" w:rsidRPr="00EE1E1E">
        <w:rPr>
          <w:sz w:val="20"/>
          <w:szCs w:val="20"/>
        </w:rPr>
        <w:t xml:space="preserve"> </w:t>
      </w:r>
      <w:r w:rsidR="00064EF9" w:rsidRPr="00EE1E1E">
        <w:rPr>
          <w:sz w:val="20"/>
          <w:szCs w:val="20"/>
        </w:rPr>
        <w:t xml:space="preserve">har fundet sted, kan nævnet fastsætte den økonomiske bod </w:t>
      </w:r>
      <w:r w:rsidR="000614C5" w:rsidRPr="00EE1E1E">
        <w:rPr>
          <w:sz w:val="20"/>
          <w:szCs w:val="20"/>
        </w:rPr>
        <w:t>herfor</w:t>
      </w:r>
      <w:r w:rsidR="00064EF9" w:rsidRPr="00EE1E1E">
        <w:rPr>
          <w:sz w:val="20"/>
          <w:szCs w:val="20"/>
        </w:rPr>
        <w:t>. Nævnets afgørelse skal indeholde en redegørelse for det grundlag, som afgørelsen hviler på, og for de synspunkter, der har været fremført under sagens behandling samt en begrundelse.</w:t>
      </w:r>
    </w:p>
    <w:p w:rsidR="00BD5D89" w:rsidRPr="00EE1E1E" w:rsidRDefault="00BD5D89">
      <w:pPr>
        <w:pStyle w:val="Brdtekst"/>
        <w:spacing w:before="9"/>
      </w:pPr>
    </w:p>
    <w:p w:rsidR="00BD5D89" w:rsidRPr="00EE1E1E" w:rsidRDefault="00064EF9">
      <w:pPr>
        <w:pStyle w:val="Listeafsnit"/>
        <w:numPr>
          <w:ilvl w:val="0"/>
          <w:numId w:val="2"/>
        </w:numPr>
        <w:tabs>
          <w:tab w:val="left" w:pos="379"/>
        </w:tabs>
        <w:spacing w:line="295" w:lineRule="auto"/>
        <w:ind w:left="110" w:right="595" w:firstLine="0"/>
        <w:rPr>
          <w:sz w:val="20"/>
          <w:szCs w:val="20"/>
        </w:rPr>
      </w:pPr>
      <w:r w:rsidRPr="00EE1E1E">
        <w:rPr>
          <w:sz w:val="20"/>
          <w:szCs w:val="20"/>
        </w:rPr>
        <w:t xml:space="preserve">Forinden Radio- og tv-nævnets </w:t>
      </w:r>
      <w:r w:rsidR="003262FF" w:rsidRPr="00EE1E1E">
        <w:rPr>
          <w:sz w:val="20"/>
          <w:szCs w:val="20"/>
        </w:rPr>
        <w:t>afgørelse offentliggøres, skal tilladelseshaver</w:t>
      </w:r>
      <w:r w:rsidRPr="00EE1E1E">
        <w:rPr>
          <w:sz w:val="20"/>
          <w:szCs w:val="20"/>
        </w:rPr>
        <w:t xml:space="preserve"> orienteres om </w:t>
      </w:r>
      <w:r w:rsidR="003262FF" w:rsidRPr="00EE1E1E">
        <w:rPr>
          <w:sz w:val="20"/>
          <w:szCs w:val="20"/>
        </w:rPr>
        <w:t>indholdet, og tilladelseshaver</w:t>
      </w:r>
      <w:r w:rsidRPr="00EE1E1E">
        <w:rPr>
          <w:sz w:val="20"/>
          <w:szCs w:val="20"/>
        </w:rPr>
        <w:t xml:space="preserve"> skal senest samtidig med offentliggørelsen modtage et eksemplar af</w:t>
      </w:r>
      <w:r w:rsidRPr="00EE1E1E">
        <w:rPr>
          <w:spacing w:val="-18"/>
          <w:sz w:val="20"/>
          <w:szCs w:val="20"/>
        </w:rPr>
        <w:t xml:space="preserve"> </w:t>
      </w:r>
      <w:r w:rsidRPr="00EE1E1E">
        <w:rPr>
          <w:sz w:val="20"/>
          <w:szCs w:val="20"/>
        </w:rPr>
        <w:t>afgørelsen.</w:t>
      </w:r>
    </w:p>
    <w:p w:rsidR="00BD5D89" w:rsidRPr="00EE1E1E" w:rsidRDefault="00BD5D89">
      <w:pPr>
        <w:pStyle w:val="Brdtekst"/>
        <w:spacing w:before="9"/>
      </w:pPr>
    </w:p>
    <w:p w:rsidR="00BD5D89" w:rsidRPr="00EE1E1E" w:rsidRDefault="00064EF9">
      <w:pPr>
        <w:pStyle w:val="Listeafsnit"/>
        <w:numPr>
          <w:ilvl w:val="0"/>
          <w:numId w:val="2"/>
        </w:numPr>
        <w:tabs>
          <w:tab w:val="left" w:pos="507"/>
        </w:tabs>
        <w:spacing w:line="295" w:lineRule="auto"/>
        <w:ind w:left="109" w:right="790" w:firstLine="1"/>
        <w:rPr>
          <w:sz w:val="20"/>
          <w:szCs w:val="20"/>
        </w:rPr>
      </w:pPr>
      <w:r w:rsidRPr="00EE1E1E">
        <w:rPr>
          <w:sz w:val="20"/>
          <w:szCs w:val="20"/>
        </w:rPr>
        <w:t>Ved fastsættelse af størrelsen af en bod skal Radio- og tv-nævnet anlægge en helhedsvurdering af vilkårets tilsidesættelse. I denne vurdering skal bl.a. indgå følgende elementer:</w:t>
      </w:r>
    </w:p>
    <w:p w:rsidR="009F7BF6" w:rsidRPr="00EE1E1E" w:rsidRDefault="009F7BF6" w:rsidP="009F7BF6">
      <w:pPr>
        <w:tabs>
          <w:tab w:val="left" w:pos="507"/>
        </w:tabs>
        <w:spacing w:line="295" w:lineRule="auto"/>
        <w:ind w:right="790"/>
        <w:rPr>
          <w:sz w:val="20"/>
          <w:szCs w:val="20"/>
        </w:rPr>
      </w:pPr>
    </w:p>
    <w:p w:rsidR="00BD5D89" w:rsidRPr="00EE1E1E" w:rsidRDefault="00064EF9">
      <w:pPr>
        <w:pStyle w:val="Listeafsnit"/>
        <w:numPr>
          <w:ilvl w:val="0"/>
          <w:numId w:val="1"/>
        </w:numPr>
        <w:tabs>
          <w:tab w:val="left" w:pos="252"/>
        </w:tabs>
        <w:spacing w:before="1"/>
        <w:rPr>
          <w:sz w:val="20"/>
          <w:szCs w:val="20"/>
        </w:rPr>
      </w:pPr>
      <w:r w:rsidRPr="00EE1E1E">
        <w:rPr>
          <w:sz w:val="20"/>
          <w:szCs w:val="20"/>
        </w:rPr>
        <w:t>tilsidesættelsens</w:t>
      </w:r>
      <w:r w:rsidRPr="00EE1E1E">
        <w:rPr>
          <w:spacing w:val="-12"/>
          <w:sz w:val="20"/>
          <w:szCs w:val="20"/>
        </w:rPr>
        <w:t xml:space="preserve"> </w:t>
      </w:r>
      <w:r w:rsidRPr="00EE1E1E">
        <w:rPr>
          <w:sz w:val="20"/>
          <w:szCs w:val="20"/>
        </w:rPr>
        <w:t>karakter</w:t>
      </w:r>
    </w:p>
    <w:p w:rsidR="00BD5D89" w:rsidRPr="00EE1E1E" w:rsidRDefault="00064EF9">
      <w:pPr>
        <w:pStyle w:val="Listeafsnit"/>
        <w:numPr>
          <w:ilvl w:val="0"/>
          <w:numId w:val="1"/>
        </w:numPr>
        <w:tabs>
          <w:tab w:val="left" w:pos="252"/>
        </w:tabs>
        <w:spacing w:before="57"/>
        <w:rPr>
          <w:sz w:val="20"/>
          <w:szCs w:val="20"/>
        </w:rPr>
      </w:pPr>
      <w:r w:rsidRPr="00EE1E1E">
        <w:rPr>
          <w:sz w:val="20"/>
          <w:szCs w:val="20"/>
        </w:rPr>
        <w:t>tilsidesættelsens styrke og</w:t>
      </w:r>
      <w:r w:rsidRPr="00EE1E1E">
        <w:rPr>
          <w:spacing w:val="-12"/>
          <w:sz w:val="20"/>
          <w:szCs w:val="20"/>
        </w:rPr>
        <w:t xml:space="preserve"> </w:t>
      </w:r>
      <w:r w:rsidRPr="00EE1E1E">
        <w:rPr>
          <w:sz w:val="20"/>
          <w:szCs w:val="20"/>
        </w:rPr>
        <w:t>omfang</w:t>
      </w:r>
    </w:p>
    <w:p w:rsidR="00BD5D89" w:rsidRPr="00EE1E1E" w:rsidRDefault="00064EF9">
      <w:pPr>
        <w:pStyle w:val="Listeafsnit"/>
        <w:numPr>
          <w:ilvl w:val="0"/>
          <w:numId w:val="1"/>
        </w:numPr>
        <w:tabs>
          <w:tab w:val="left" w:pos="252"/>
        </w:tabs>
        <w:spacing w:before="57"/>
        <w:rPr>
          <w:sz w:val="20"/>
          <w:szCs w:val="20"/>
        </w:rPr>
      </w:pPr>
      <w:r w:rsidRPr="00EE1E1E">
        <w:rPr>
          <w:sz w:val="20"/>
          <w:szCs w:val="20"/>
        </w:rPr>
        <w:t>årsagen til</w:t>
      </w:r>
      <w:r w:rsidRPr="00EE1E1E">
        <w:rPr>
          <w:spacing w:val="-10"/>
          <w:sz w:val="20"/>
          <w:szCs w:val="20"/>
        </w:rPr>
        <w:t xml:space="preserve"> </w:t>
      </w:r>
      <w:r w:rsidRPr="00EE1E1E">
        <w:rPr>
          <w:sz w:val="20"/>
          <w:szCs w:val="20"/>
        </w:rPr>
        <w:t>tilsidesættelsen</w:t>
      </w:r>
    </w:p>
    <w:p w:rsidR="00BD5D89" w:rsidRPr="00EE1E1E" w:rsidRDefault="00064EF9">
      <w:pPr>
        <w:pStyle w:val="Listeafsnit"/>
        <w:numPr>
          <w:ilvl w:val="0"/>
          <w:numId w:val="1"/>
        </w:numPr>
        <w:tabs>
          <w:tab w:val="left" w:pos="252"/>
        </w:tabs>
        <w:spacing w:before="57"/>
        <w:rPr>
          <w:sz w:val="20"/>
          <w:szCs w:val="20"/>
        </w:rPr>
      </w:pPr>
      <w:r w:rsidRPr="00EE1E1E">
        <w:rPr>
          <w:sz w:val="20"/>
          <w:szCs w:val="20"/>
        </w:rPr>
        <w:t>vilkårets</w:t>
      </w:r>
      <w:r w:rsidRPr="00EE1E1E">
        <w:rPr>
          <w:spacing w:val="-8"/>
          <w:sz w:val="20"/>
          <w:szCs w:val="20"/>
        </w:rPr>
        <w:t xml:space="preserve"> </w:t>
      </w:r>
      <w:r w:rsidRPr="00EE1E1E">
        <w:rPr>
          <w:sz w:val="20"/>
          <w:szCs w:val="20"/>
        </w:rPr>
        <w:t>karakter</w:t>
      </w:r>
    </w:p>
    <w:p w:rsidR="00BD5D89" w:rsidRPr="00EE1E1E" w:rsidRDefault="00064EF9">
      <w:pPr>
        <w:pStyle w:val="Listeafsnit"/>
        <w:numPr>
          <w:ilvl w:val="0"/>
          <w:numId w:val="1"/>
        </w:numPr>
        <w:tabs>
          <w:tab w:val="left" w:pos="252"/>
        </w:tabs>
        <w:spacing w:before="57"/>
        <w:ind w:hanging="141"/>
        <w:rPr>
          <w:sz w:val="20"/>
          <w:szCs w:val="20"/>
        </w:rPr>
      </w:pPr>
      <w:r w:rsidRPr="00EE1E1E">
        <w:rPr>
          <w:sz w:val="20"/>
          <w:szCs w:val="20"/>
        </w:rPr>
        <w:t>ophør af</w:t>
      </w:r>
      <w:r w:rsidRPr="00EE1E1E">
        <w:rPr>
          <w:spacing w:val="-11"/>
          <w:sz w:val="20"/>
          <w:szCs w:val="20"/>
        </w:rPr>
        <w:t xml:space="preserve"> </w:t>
      </w:r>
      <w:r w:rsidRPr="00EE1E1E">
        <w:rPr>
          <w:sz w:val="20"/>
          <w:szCs w:val="20"/>
        </w:rPr>
        <w:t>tilsidesættelsen</w:t>
      </w:r>
    </w:p>
    <w:p w:rsidR="00BD5D89" w:rsidRPr="00EE1E1E" w:rsidRDefault="00064EF9">
      <w:pPr>
        <w:pStyle w:val="Listeafsnit"/>
        <w:numPr>
          <w:ilvl w:val="0"/>
          <w:numId w:val="1"/>
        </w:numPr>
        <w:tabs>
          <w:tab w:val="left" w:pos="252"/>
        </w:tabs>
        <w:spacing w:before="57"/>
        <w:ind w:hanging="141"/>
        <w:rPr>
          <w:sz w:val="20"/>
          <w:szCs w:val="20"/>
        </w:rPr>
      </w:pPr>
      <w:r w:rsidRPr="00EE1E1E">
        <w:rPr>
          <w:sz w:val="20"/>
          <w:szCs w:val="20"/>
        </w:rPr>
        <w:t>tidligere tilsidesættelser af samme</w:t>
      </w:r>
      <w:r w:rsidRPr="00EE1E1E">
        <w:rPr>
          <w:spacing w:val="-14"/>
          <w:sz w:val="20"/>
          <w:szCs w:val="20"/>
        </w:rPr>
        <w:t xml:space="preserve"> </w:t>
      </w:r>
      <w:r w:rsidRPr="00EE1E1E">
        <w:rPr>
          <w:sz w:val="20"/>
          <w:szCs w:val="20"/>
        </w:rPr>
        <w:t>vilkår</w:t>
      </w:r>
    </w:p>
    <w:p w:rsidR="00BD5D89" w:rsidRPr="00EE1E1E" w:rsidRDefault="00064EF9">
      <w:pPr>
        <w:pStyle w:val="Listeafsnit"/>
        <w:numPr>
          <w:ilvl w:val="0"/>
          <w:numId w:val="1"/>
        </w:numPr>
        <w:tabs>
          <w:tab w:val="left" w:pos="252"/>
        </w:tabs>
        <w:spacing w:before="57"/>
        <w:ind w:hanging="141"/>
        <w:rPr>
          <w:sz w:val="20"/>
          <w:szCs w:val="20"/>
        </w:rPr>
      </w:pPr>
      <w:r w:rsidRPr="00EE1E1E">
        <w:rPr>
          <w:sz w:val="20"/>
          <w:szCs w:val="20"/>
        </w:rPr>
        <w:t>størrelsen af en eventuel besparelse ved tilsidesættelsen af</w:t>
      </w:r>
      <w:r w:rsidRPr="00EE1E1E">
        <w:rPr>
          <w:spacing w:val="-26"/>
          <w:sz w:val="20"/>
          <w:szCs w:val="20"/>
        </w:rPr>
        <w:t xml:space="preserve"> </w:t>
      </w:r>
      <w:r w:rsidRPr="00EE1E1E">
        <w:rPr>
          <w:sz w:val="20"/>
          <w:szCs w:val="20"/>
        </w:rPr>
        <w:t>vilkåret</w:t>
      </w:r>
    </w:p>
    <w:p w:rsidR="00BD5D89" w:rsidRPr="00EE1E1E" w:rsidRDefault="00064EF9">
      <w:pPr>
        <w:pStyle w:val="Listeafsnit"/>
        <w:numPr>
          <w:ilvl w:val="0"/>
          <w:numId w:val="1"/>
        </w:numPr>
        <w:tabs>
          <w:tab w:val="left" w:pos="252"/>
        </w:tabs>
        <w:spacing w:before="57"/>
        <w:ind w:hanging="141"/>
        <w:rPr>
          <w:sz w:val="20"/>
          <w:szCs w:val="20"/>
        </w:rPr>
      </w:pPr>
      <w:r w:rsidRPr="00EE1E1E">
        <w:rPr>
          <w:sz w:val="20"/>
          <w:szCs w:val="20"/>
        </w:rPr>
        <w:t>størrelsen af en eventuel gevinst ved tilsidesættelsen af</w:t>
      </w:r>
      <w:r w:rsidRPr="00EE1E1E">
        <w:rPr>
          <w:spacing w:val="-25"/>
          <w:sz w:val="20"/>
          <w:szCs w:val="20"/>
        </w:rPr>
        <w:t xml:space="preserve"> </w:t>
      </w:r>
      <w:r w:rsidR="009F7BF6" w:rsidRPr="00EE1E1E">
        <w:rPr>
          <w:sz w:val="20"/>
          <w:szCs w:val="20"/>
        </w:rPr>
        <w:t>vilkåret</w:t>
      </w:r>
    </w:p>
    <w:p w:rsidR="00BD5D89" w:rsidRPr="00EE1E1E" w:rsidRDefault="00BD5D89">
      <w:pPr>
        <w:pStyle w:val="Brdtekst"/>
        <w:spacing w:before="4"/>
      </w:pPr>
    </w:p>
    <w:p w:rsidR="00BD5D89" w:rsidRPr="00EE1E1E" w:rsidRDefault="00064EF9">
      <w:pPr>
        <w:pStyle w:val="Listeafsnit"/>
        <w:numPr>
          <w:ilvl w:val="0"/>
          <w:numId w:val="2"/>
        </w:numPr>
        <w:tabs>
          <w:tab w:val="left" w:pos="507"/>
        </w:tabs>
        <w:spacing w:line="295" w:lineRule="auto"/>
        <w:ind w:left="109" w:right="132" w:firstLine="1"/>
        <w:rPr>
          <w:sz w:val="20"/>
          <w:szCs w:val="20"/>
        </w:rPr>
      </w:pPr>
      <w:r w:rsidRPr="00EE1E1E">
        <w:rPr>
          <w:sz w:val="20"/>
          <w:szCs w:val="20"/>
        </w:rPr>
        <w:t>Overtrædelse af vilkår for tilladelsen kan pålægges en økonomisk bod, der fastsættes efter overtrædelsens karakter og omfang. En mindre overtrædelse af ét enkelt vilkår for tilladelsen udløser</w:t>
      </w:r>
      <w:r w:rsidR="003262FF" w:rsidRPr="00EE1E1E">
        <w:rPr>
          <w:sz w:val="20"/>
          <w:szCs w:val="20"/>
        </w:rPr>
        <w:t xml:space="preserve"> en bod på maksimalt 1 pct. af tilladelseshavers</w:t>
      </w:r>
      <w:r w:rsidRPr="00EE1E1E">
        <w:rPr>
          <w:sz w:val="20"/>
          <w:szCs w:val="20"/>
        </w:rPr>
        <w:t xml:space="preserve"> omsætning i det foregående regnskabsår. En grov overtrædelse af vilkår for tilladelsen kan udløse en bod på </w:t>
      </w:r>
      <w:r w:rsidRPr="00EE1E1E">
        <w:rPr>
          <w:sz w:val="20"/>
          <w:szCs w:val="20"/>
        </w:rPr>
        <w:lastRenderedPageBreak/>
        <w:t xml:space="preserve">maksimalt </w:t>
      </w:r>
      <w:r w:rsidR="00D048FD" w:rsidRPr="00EE1E1E">
        <w:rPr>
          <w:sz w:val="20"/>
          <w:szCs w:val="20"/>
        </w:rPr>
        <w:t xml:space="preserve">7 pct. af </w:t>
      </w:r>
      <w:r w:rsidRPr="00EE1E1E">
        <w:rPr>
          <w:sz w:val="20"/>
          <w:szCs w:val="20"/>
        </w:rPr>
        <w:t>tilladelseshavers omsætning i det foregående regnskabsår. Andre overtrædelser udløser en bod på mellem 2 og 6 pct. I gentagelsestilfælde kan en bod for overtrædelse af vilkår</w:t>
      </w:r>
      <w:r w:rsidR="009F7BF6" w:rsidRPr="00EE1E1E">
        <w:rPr>
          <w:sz w:val="20"/>
          <w:szCs w:val="20"/>
        </w:rPr>
        <w:t xml:space="preserve"> mv.</w:t>
      </w:r>
      <w:r w:rsidRPr="00EE1E1E">
        <w:rPr>
          <w:sz w:val="20"/>
          <w:szCs w:val="20"/>
        </w:rPr>
        <w:t xml:space="preserve"> forhøjes med op til 3</w:t>
      </w:r>
      <w:r w:rsidRPr="00EE1E1E">
        <w:rPr>
          <w:spacing w:val="-10"/>
          <w:sz w:val="20"/>
          <w:szCs w:val="20"/>
        </w:rPr>
        <w:t xml:space="preserve"> </w:t>
      </w:r>
      <w:r w:rsidRPr="00EE1E1E">
        <w:rPr>
          <w:sz w:val="20"/>
          <w:szCs w:val="20"/>
        </w:rPr>
        <w:t>procentpoint.</w:t>
      </w:r>
    </w:p>
    <w:p w:rsidR="00BD5D89" w:rsidRPr="00EE1E1E" w:rsidRDefault="00947D6F">
      <w:pPr>
        <w:pStyle w:val="Listeafsnit"/>
        <w:numPr>
          <w:ilvl w:val="0"/>
          <w:numId w:val="2"/>
        </w:numPr>
        <w:tabs>
          <w:tab w:val="left" w:pos="509"/>
        </w:tabs>
        <w:spacing w:before="142" w:line="295" w:lineRule="auto"/>
        <w:ind w:left="112" w:right="401" w:firstLine="0"/>
        <w:rPr>
          <w:sz w:val="20"/>
          <w:szCs w:val="20"/>
        </w:rPr>
      </w:pPr>
      <w:r w:rsidRPr="00EE1E1E">
        <w:rPr>
          <w:sz w:val="20"/>
          <w:szCs w:val="20"/>
        </w:rPr>
        <w:t>Manglende overholdelse af vilkår for tilladelsen for så vidt angår sendenettets dækning pålægges en årlig opgjort økonomisk bod på 0,5 mio. kr. for hver 0,1 procent, sendenettes befolkningsmæssige dækning opgjort ultimo året ligger under den krævede dækning. Radio- og tv-nævnet kan undlade at pålægge bod for manglende overholdelse af vilkår for så vidt angår sendenettets dækning, såfremt nævnet anser den manglende dækning for begrundet i hensynet til resultatet af forhandlinger med nabolande om ibrugtagning af sendemulighederne, eller såfremt der på anden måde foreligger en særlig situation.</w:t>
      </w:r>
    </w:p>
    <w:p w:rsidR="00BD5D89" w:rsidRPr="00EE1E1E" w:rsidRDefault="00BD5D89">
      <w:pPr>
        <w:pStyle w:val="Brdtekst"/>
        <w:spacing w:before="9"/>
      </w:pPr>
    </w:p>
    <w:p w:rsidR="00BD5D89" w:rsidRPr="00EE1E1E" w:rsidRDefault="00064EF9">
      <w:pPr>
        <w:pStyle w:val="Listeafsnit"/>
        <w:numPr>
          <w:ilvl w:val="0"/>
          <w:numId w:val="2"/>
        </w:numPr>
        <w:tabs>
          <w:tab w:val="left" w:pos="509"/>
        </w:tabs>
        <w:spacing w:line="295" w:lineRule="auto"/>
        <w:ind w:left="112" w:right="148" w:firstLine="0"/>
        <w:rPr>
          <w:sz w:val="20"/>
          <w:szCs w:val="20"/>
        </w:rPr>
      </w:pPr>
      <w:r w:rsidRPr="00EE1E1E">
        <w:rPr>
          <w:sz w:val="20"/>
          <w:szCs w:val="20"/>
        </w:rPr>
        <w:t>Uanset om Radio- og tv-nævnet behandler flere tilfælde af tilsidesættelse af vilkår skal fastsættelsen af størrelsen af den økonomiske bod, jf. punkt 11</w:t>
      </w:r>
      <w:r w:rsidR="00947D6F" w:rsidRPr="00EE1E1E">
        <w:rPr>
          <w:sz w:val="20"/>
          <w:szCs w:val="20"/>
        </w:rPr>
        <w:t xml:space="preserve"> og 12</w:t>
      </w:r>
      <w:r w:rsidRPr="00EE1E1E">
        <w:rPr>
          <w:sz w:val="20"/>
          <w:szCs w:val="20"/>
        </w:rPr>
        <w:t xml:space="preserve"> opgøres for hvert enkelt vilkår </w:t>
      </w:r>
      <w:r w:rsidR="003262FF" w:rsidRPr="00EE1E1E">
        <w:rPr>
          <w:sz w:val="20"/>
          <w:szCs w:val="20"/>
        </w:rPr>
        <w:t>for sig, idet tilladelseshaver</w:t>
      </w:r>
      <w:r w:rsidRPr="00EE1E1E">
        <w:rPr>
          <w:sz w:val="20"/>
          <w:szCs w:val="20"/>
        </w:rPr>
        <w:t>- årligt opgjort - maksimalt kan pålægges en bod for overtrædelse af krav til programindhold på 10 pct. af omsætningen i det foregående regnskabsår.</w:t>
      </w:r>
    </w:p>
    <w:p w:rsidR="00DB0C8B" w:rsidRPr="00EE1E1E" w:rsidRDefault="00DB0C8B" w:rsidP="00DB0C8B">
      <w:pPr>
        <w:pStyle w:val="Listeafsnit"/>
        <w:rPr>
          <w:sz w:val="20"/>
          <w:szCs w:val="20"/>
        </w:rPr>
      </w:pPr>
    </w:p>
    <w:p w:rsidR="00BD5D89" w:rsidRPr="00EE1E1E" w:rsidRDefault="00DB0C8B" w:rsidP="00DB0C8B">
      <w:pPr>
        <w:pStyle w:val="Listeafsnit"/>
        <w:numPr>
          <w:ilvl w:val="0"/>
          <w:numId w:val="2"/>
        </w:numPr>
        <w:tabs>
          <w:tab w:val="left" w:pos="509"/>
        </w:tabs>
        <w:spacing w:before="9" w:line="295" w:lineRule="auto"/>
        <w:ind w:left="142" w:right="148" w:firstLine="0"/>
        <w:rPr>
          <w:sz w:val="20"/>
          <w:szCs w:val="20"/>
        </w:rPr>
      </w:pPr>
      <w:r w:rsidRPr="00EE1E1E">
        <w:rPr>
          <w:sz w:val="20"/>
          <w:szCs w:val="20"/>
        </w:rPr>
        <w:t xml:space="preserve">Ved </w:t>
      </w:r>
      <w:r w:rsidR="00064EF9" w:rsidRPr="00EE1E1E">
        <w:rPr>
          <w:sz w:val="20"/>
          <w:szCs w:val="20"/>
        </w:rPr>
        <w:t>omsætningen i henhold til punkt 11-13 forstås i denne aftale</w:t>
      </w:r>
      <w:r w:rsidR="003501EF" w:rsidRPr="00EE1E1E">
        <w:rPr>
          <w:spacing w:val="-29"/>
          <w:sz w:val="20"/>
          <w:szCs w:val="20"/>
        </w:rPr>
        <w:t xml:space="preserve"> </w:t>
      </w:r>
      <w:r w:rsidR="00064EF9" w:rsidRPr="00EE1E1E">
        <w:rPr>
          <w:sz w:val="20"/>
          <w:szCs w:val="20"/>
        </w:rPr>
        <w:t>bruttoomsætningen.</w:t>
      </w:r>
    </w:p>
    <w:p w:rsidR="00BD5D89" w:rsidRPr="00EE1E1E" w:rsidRDefault="00BD5D89">
      <w:pPr>
        <w:pStyle w:val="Brdtekst"/>
        <w:spacing w:before="4"/>
      </w:pPr>
    </w:p>
    <w:p w:rsidR="00BD5D89" w:rsidRPr="00EE1E1E" w:rsidRDefault="00064EF9">
      <w:pPr>
        <w:pStyle w:val="Listeafsnit"/>
        <w:numPr>
          <w:ilvl w:val="0"/>
          <w:numId w:val="2"/>
        </w:numPr>
        <w:tabs>
          <w:tab w:val="left" w:pos="509"/>
        </w:tabs>
        <w:ind w:left="508" w:hanging="396"/>
        <w:rPr>
          <w:sz w:val="20"/>
          <w:szCs w:val="20"/>
        </w:rPr>
      </w:pPr>
      <w:r w:rsidRPr="00EE1E1E">
        <w:rPr>
          <w:sz w:val="20"/>
          <w:szCs w:val="20"/>
        </w:rPr>
        <w:t>Senest 30 dage efter modtagelsen af Radio- og tv-nævnets afgørelse</w:t>
      </w:r>
      <w:r w:rsidR="00113E2F" w:rsidRPr="00EE1E1E">
        <w:rPr>
          <w:spacing w:val="-28"/>
          <w:sz w:val="20"/>
          <w:szCs w:val="20"/>
        </w:rPr>
        <w:t xml:space="preserve"> </w:t>
      </w:r>
      <w:r w:rsidRPr="00EE1E1E">
        <w:rPr>
          <w:sz w:val="20"/>
          <w:szCs w:val="20"/>
        </w:rPr>
        <w:t>er</w:t>
      </w:r>
    </w:p>
    <w:p w:rsidR="00BD5D89" w:rsidRPr="00EE1E1E" w:rsidRDefault="00113E2F">
      <w:pPr>
        <w:pStyle w:val="Brdtekst"/>
        <w:spacing w:before="57" w:line="295" w:lineRule="auto"/>
        <w:ind w:left="111" w:right="551"/>
      </w:pPr>
      <w:proofErr w:type="gramStart"/>
      <w:r w:rsidRPr="00EE1E1E">
        <w:t>t</w:t>
      </w:r>
      <w:r w:rsidR="003262FF" w:rsidRPr="00EE1E1E">
        <w:t xml:space="preserve">illadelseshaver </w:t>
      </w:r>
      <w:r w:rsidR="00064EF9" w:rsidRPr="00EE1E1E">
        <w:t>forpligtet til at indbetale den fastsatte bod til statskassen.</w:t>
      </w:r>
      <w:proofErr w:type="gramEnd"/>
      <w:r w:rsidR="00064EF9" w:rsidRPr="00EE1E1E">
        <w:t xml:space="preserve"> Ved forsinket betaling </w:t>
      </w:r>
      <w:proofErr w:type="spellStart"/>
      <w:r w:rsidR="00064EF9" w:rsidRPr="00EE1E1E">
        <w:t>påløber</w:t>
      </w:r>
      <w:proofErr w:type="spellEnd"/>
      <w:r w:rsidR="00064EF9" w:rsidRPr="00EE1E1E">
        <w:t xml:space="preserve"> der renter i overensstemmelse med rentelovens bestemmelser herom.</w:t>
      </w:r>
    </w:p>
    <w:p w:rsidR="00BD5D89" w:rsidRPr="00EE1E1E" w:rsidRDefault="00BD5D89">
      <w:pPr>
        <w:pStyle w:val="Brdtekst"/>
        <w:spacing w:before="9"/>
      </w:pPr>
    </w:p>
    <w:p w:rsidR="00BD5D89" w:rsidRPr="00EE1E1E" w:rsidRDefault="00064EF9">
      <w:pPr>
        <w:pStyle w:val="Brdtekst"/>
        <w:ind w:left="2927" w:right="2870"/>
        <w:jc w:val="center"/>
      </w:pPr>
      <w:r w:rsidRPr="00EE1E1E">
        <w:t>Kapitel 3</w:t>
      </w:r>
    </w:p>
    <w:p w:rsidR="0059354B" w:rsidRPr="00EE1E1E" w:rsidRDefault="0059354B">
      <w:pPr>
        <w:pStyle w:val="Brdtekst"/>
        <w:ind w:left="2927" w:right="2870"/>
        <w:jc w:val="center"/>
      </w:pPr>
    </w:p>
    <w:p w:rsidR="00BD5D89" w:rsidRPr="00EE1E1E" w:rsidRDefault="00064EF9">
      <w:pPr>
        <w:pStyle w:val="Brdtekst"/>
        <w:spacing w:before="57"/>
        <w:ind w:left="2927" w:right="2876"/>
        <w:jc w:val="center"/>
      </w:pPr>
      <w:r w:rsidRPr="00EE1E1E">
        <w:t>Indbringelse for domstolene og voldgift</w:t>
      </w:r>
    </w:p>
    <w:p w:rsidR="00BD5D89" w:rsidRPr="00EE1E1E" w:rsidRDefault="00BD5D89">
      <w:pPr>
        <w:pStyle w:val="Brdtekst"/>
        <w:spacing w:before="4"/>
      </w:pPr>
    </w:p>
    <w:p w:rsidR="00BD5D89" w:rsidRPr="00EE1E1E" w:rsidRDefault="003262FF">
      <w:pPr>
        <w:pStyle w:val="Listeafsnit"/>
        <w:numPr>
          <w:ilvl w:val="0"/>
          <w:numId w:val="2"/>
        </w:numPr>
        <w:tabs>
          <w:tab w:val="left" w:pos="508"/>
        </w:tabs>
        <w:spacing w:line="295" w:lineRule="auto"/>
        <w:ind w:right="203" w:firstLine="0"/>
        <w:rPr>
          <w:sz w:val="20"/>
          <w:szCs w:val="20"/>
        </w:rPr>
      </w:pPr>
      <w:r w:rsidRPr="00EE1E1E">
        <w:rPr>
          <w:sz w:val="20"/>
          <w:szCs w:val="20"/>
        </w:rPr>
        <w:t xml:space="preserve">Ønsker tilladelseshaver </w:t>
      </w:r>
      <w:r w:rsidR="00064EF9" w:rsidRPr="00EE1E1E">
        <w:rPr>
          <w:sz w:val="20"/>
          <w:szCs w:val="20"/>
        </w:rPr>
        <w:t>at indbringe afgørelsen for domstolene</w:t>
      </w:r>
      <w:r w:rsidR="008E60C8" w:rsidRPr="00EE1E1E">
        <w:rPr>
          <w:sz w:val="20"/>
          <w:szCs w:val="20"/>
        </w:rPr>
        <w:t>,</w:t>
      </w:r>
      <w:r w:rsidR="00064EF9" w:rsidRPr="00EE1E1E">
        <w:rPr>
          <w:sz w:val="20"/>
          <w:szCs w:val="20"/>
        </w:rPr>
        <w:t xml:space="preserve"> skal dette ske senest 30 dage efter, at afgørelsen er meddelt af Radio- og tv-nævnet. Parterne kan konkret aftale, at sagen skal afgøres ved</w:t>
      </w:r>
      <w:r w:rsidR="00064EF9" w:rsidRPr="00EE1E1E">
        <w:rPr>
          <w:spacing w:val="-12"/>
          <w:sz w:val="20"/>
          <w:szCs w:val="20"/>
        </w:rPr>
        <w:t xml:space="preserve"> </w:t>
      </w:r>
      <w:r w:rsidR="00064EF9" w:rsidRPr="00EE1E1E">
        <w:rPr>
          <w:sz w:val="20"/>
          <w:szCs w:val="20"/>
        </w:rPr>
        <w:t>voldgift.</w:t>
      </w:r>
    </w:p>
    <w:p w:rsidR="00BD5D89" w:rsidRPr="00EE1E1E" w:rsidRDefault="00BD5D89">
      <w:pPr>
        <w:pStyle w:val="Brdtekst"/>
        <w:spacing w:before="9"/>
      </w:pPr>
    </w:p>
    <w:p w:rsidR="00BD5D89" w:rsidRPr="00EE1E1E" w:rsidRDefault="003262FF">
      <w:pPr>
        <w:pStyle w:val="Listeafsnit"/>
        <w:numPr>
          <w:ilvl w:val="0"/>
          <w:numId w:val="2"/>
        </w:numPr>
        <w:tabs>
          <w:tab w:val="left" w:pos="510"/>
        </w:tabs>
        <w:spacing w:line="295" w:lineRule="auto"/>
        <w:ind w:right="189" w:firstLine="0"/>
        <w:rPr>
          <w:sz w:val="20"/>
          <w:szCs w:val="20"/>
        </w:rPr>
      </w:pPr>
      <w:r w:rsidRPr="00EE1E1E">
        <w:rPr>
          <w:sz w:val="20"/>
          <w:szCs w:val="20"/>
        </w:rPr>
        <w:t xml:space="preserve">Indbringer tilladelseshaver </w:t>
      </w:r>
      <w:r w:rsidR="00064EF9" w:rsidRPr="00EE1E1E">
        <w:rPr>
          <w:sz w:val="20"/>
          <w:szCs w:val="20"/>
        </w:rPr>
        <w:t>ikke afgørelsen for domstolene, eller indgås der ikke aftale om voldgift inden for den nævnte frist, anses afgørelsen som endelig, og tilladelseshaver</w:t>
      </w:r>
      <w:r w:rsidRPr="00EE1E1E">
        <w:rPr>
          <w:sz w:val="20"/>
          <w:szCs w:val="20"/>
        </w:rPr>
        <w:t xml:space="preserve"> </w:t>
      </w:r>
      <w:r w:rsidR="00064EF9" w:rsidRPr="00EE1E1E">
        <w:rPr>
          <w:sz w:val="20"/>
          <w:szCs w:val="20"/>
        </w:rPr>
        <w:t>kan herefter ikke forlange afgørelsen</w:t>
      </w:r>
      <w:r w:rsidR="00064EF9" w:rsidRPr="00EE1E1E">
        <w:rPr>
          <w:spacing w:val="-19"/>
          <w:sz w:val="20"/>
          <w:szCs w:val="20"/>
        </w:rPr>
        <w:t xml:space="preserve"> </w:t>
      </w:r>
      <w:r w:rsidR="00064EF9" w:rsidRPr="00EE1E1E">
        <w:rPr>
          <w:sz w:val="20"/>
          <w:szCs w:val="20"/>
        </w:rPr>
        <w:t>prøvet.</w:t>
      </w:r>
    </w:p>
    <w:p w:rsidR="00BD5D89" w:rsidRPr="00EE1E1E" w:rsidRDefault="00BD5D89">
      <w:pPr>
        <w:pStyle w:val="Brdtekst"/>
        <w:spacing w:before="9"/>
      </w:pPr>
    </w:p>
    <w:p w:rsidR="00BD5D89" w:rsidRPr="00EE1E1E" w:rsidRDefault="003262FF">
      <w:pPr>
        <w:pStyle w:val="Listeafsnit"/>
        <w:numPr>
          <w:ilvl w:val="0"/>
          <w:numId w:val="2"/>
        </w:numPr>
        <w:tabs>
          <w:tab w:val="left" w:pos="511"/>
        </w:tabs>
        <w:spacing w:line="295" w:lineRule="auto"/>
        <w:ind w:left="112" w:right="117" w:hanging="1"/>
        <w:rPr>
          <w:sz w:val="20"/>
          <w:szCs w:val="20"/>
        </w:rPr>
      </w:pPr>
      <w:r w:rsidRPr="00EE1E1E">
        <w:rPr>
          <w:sz w:val="20"/>
          <w:szCs w:val="20"/>
        </w:rPr>
        <w:t xml:space="preserve">Indbringer tilladelseshaver </w:t>
      </w:r>
      <w:r w:rsidR="00064EF9" w:rsidRPr="00EE1E1E">
        <w:rPr>
          <w:sz w:val="20"/>
          <w:szCs w:val="20"/>
        </w:rPr>
        <w:t>afgørelsen for domstolene, eller indgås der aftale om voldgift, kan Radio- og tv-nævnet efter b</w:t>
      </w:r>
      <w:r w:rsidRPr="00EE1E1E">
        <w:rPr>
          <w:sz w:val="20"/>
          <w:szCs w:val="20"/>
        </w:rPr>
        <w:t>egæring fra</w:t>
      </w:r>
      <w:r w:rsidR="00947D6F" w:rsidRPr="00EE1E1E">
        <w:rPr>
          <w:sz w:val="20"/>
          <w:szCs w:val="20"/>
        </w:rPr>
        <w:t xml:space="preserve"> </w:t>
      </w:r>
      <w:proofErr w:type="spellStart"/>
      <w:r w:rsidRPr="00EE1E1E">
        <w:rPr>
          <w:sz w:val="20"/>
          <w:szCs w:val="20"/>
        </w:rPr>
        <w:t>tilladelsehaver</w:t>
      </w:r>
      <w:proofErr w:type="spellEnd"/>
      <w:r w:rsidR="00947D6F" w:rsidRPr="00EE1E1E">
        <w:rPr>
          <w:sz w:val="20"/>
          <w:szCs w:val="20"/>
        </w:rPr>
        <w:t xml:space="preserve"> </w:t>
      </w:r>
      <w:r w:rsidR="00064EF9" w:rsidRPr="00EE1E1E">
        <w:rPr>
          <w:sz w:val="20"/>
          <w:szCs w:val="20"/>
        </w:rPr>
        <w:t>træffe afgørelse om, at indbringelse for domstolene eller for en voldgiftsret tillægges suspenderende</w:t>
      </w:r>
      <w:r w:rsidR="00064EF9" w:rsidRPr="00EE1E1E">
        <w:rPr>
          <w:spacing w:val="-28"/>
          <w:sz w:val="20"/>
          <w:szCs w:val="20"/>
        </w:rPr>
        <w:t xml:space="preserve"> </w:t>
      </w:r>
      <w:r w:rsidR="00064EF9" w:rsidRPr="00EE1E1E">
        <w:rPr>
          <w:sz w:val="20"/>
          <w:szCs w:val="20"/>
        </w:rPr>
        <w:t>virkning.</w:t>
      </w:r>
    </w:p>
    <w:p w:rsidR="00BD5D89" w:rsidRPr="00EE1E1E" w:rsidRDefault="00BD5D89">
      <w:pPr>
        <w:pStyle w:val="Brdtekst"/>
        <w:spacing w:before="9"/>
      </w:pPr>
    </w:p>
    <w:p w:rsidR="00BD5D89" w:rsidRPr="00EE1E1E" w:rsidRDefault="00064EF9">
      <w:pPr>
        <w:pStyle w:val="Listeafsnit"/>
        <w:numPr>
          <w:ilvl w:val="0"/>
          <w:numId w:val="2"/>
        </w:numPr>
        <w:tabs>
          <w:tab w:val="left" w:pos="508"/>
        </w:tabs>
        <w:spacing w:line="295" w:lineRule="auto"/>
        <w:ind w:right="1140" w:firstLine="0"/>
        <w:rPr>
          <w:sz w:val="20"/>
          <w:szCs w:val="20"/>
        </w:rPr>
      </w:pPr>
      <w:r w:rsidRPr="00EE1E1E">
        <w:rPr>
          <w:sz w:val="20"/>
          <w:szCs w:val="20"/>
        </w:rPr>
        <w:t>Værneting er Københavns Byret. Retsforholdet i henhold til tilladelsen og dennes fortolkning afgøres efter dansk</w:t>
      </w:r>
      <w:r w:rsidRPr="00EE1E1E">
        <w:rPr>
          <w:spacing w:val="-17"/>
          <w:sz w:val="20"/>
          <w:szCs w:val="20"/>
        </w:rPr>
        <w:t xml:space="preserve"> </w:t>
      </w:r>
      <w:r w:rsidRPr="00EE1E1E">
        <w:rPr>
          <w:sz w:val="20"/>
          <w:szCs w:val="20"/>
        </w:rPr>
        <w:t>ret.</w:t>
      </w:r>
    </w:p>
    <w:p w:rsidR="00BD5D89" w:rsidRPr="00EE1E1E" w:rsidRDefault="00BD5D89">
      <w:pPr>
        <w:pStyle w:val="Brdtekst"/>
        <w:spacing w:before="9"/>
      </w:pPr>
    </w:p>
    <w:p w:rsidR="00BD5D89" w:rsidRPr="00EE1E1E" w:rsidRDefault="00486C3C">
      <w:pPr>
        <w:pStyle w:val="Listeafsnit"/>
        <w:numPr>
          <w:ilvl w:val="0"/>
          <w:numId w:val="2"/>
        </w:numPr>
        <w:tabs>
          <w:tab w:val="left" w:pos="508"/>
        </w:tabs>
        <w:spacing w:line="295" w:lineRule="auto"/>
        <w:ind w:right="137" w:firstLine="0"/>
        <w:jc w:val="both"/>
        <w:rPr>
          <w:sz w:val="20"/>
          <w:szCs w:val="20"/>
        </w:rPr>
      </w:pPr>
      <w:r w:rsidRPr="00EE1E1E">
        <w:rPr>
          <w:sz w:val="20"/>
          <w:szCs w:val="20"/>
        </w:rPr>
        <w:t xml:space="preserve">Uanset at </w:t>
      </w:r>
      <w:r w:rsidR="00DB0C8B" w:rsidRPr="00EE1E1E">
        <w:rPr>
          <w:sz w:val="20"/>
          <w:szCs w:val="20"/>
        </w:rPr>
        <w:t>Radio- og tv-nævnet pålægger bod i henhold til punkt 11 til 13, kan nævnet tillige inddrage tilladelsen i henhold til bekendt</w:t>
      </w:r>
      <w:r w:rsidR="00064EF9" w:rsidRPr="00EE1E1E">
        <w:rPr>
          <w:sz w:val="20"/>
          <w:szCs w:val="20"/>
        </w:rPr>
        <w:t>gørelsens § 2</w:t>
      </w:r>
      <w:r w:rsidR="00642170" w:rsidRPr="00EE1E1E">
        <w:rPr>
          <w:sz w:val="20"/>
          <w:szCs w:val="20"/>
        </w:rPr>
        <w:t>3</w:t>
      </w:r>
      <w:r w:rsidR="00DB0C8B" w:rsidRPr="00EE1E1E">
        <w:rPr>
          <w:sz w:val="20"/>
          <w:szCs w:val="20"/>
        </w:rPr>
        <w:t xml:space="preserve">, stk. 2, </w:t>
      </w:r>
      <w:r w:rsidR="00064EF9" w:rsidRPr="00EE1E1E">
        <w:rPr>
          <w:sz w:val="20"/>
          <w:szCs w:val="20"/>
        </w:rPr>
        <w:t>hvis tilladelseshaver overtræder loven eller bestemmelser fastsat efter loven, såfremt en overtrædelse er grov eller ofte</w:t>
      </w:r>
      <w:r w:rsidR="00064EF9" w:rsidRPr="00EE1E1E">
        <w:rPr>
          <w:spacing w:val="-9"/>
          <w:sz w:val="20"/>
          <w:szCs w:val="20"/>
        </w:rPr>
        <w:t xml:space="preserve"> </w:t>
      </w:r>
      <w:r w:rsidR="00064EF9" w:rsidRPr="00EE1E1E">
        <w:rPr>
          <w:sz w:val="20"/>
          <w:szCs w:val="20"/>
        </w:rPr>
        <w:t>gentaget.</w:t>
      </w:r>
    </w:p>
    <w:p w:rsidR="00BD5D89" w:rsidRPr="00EE1E1E" w:rsidRDefault="00BD5D89">
      <w:pPr>
        <w:pStyle w:val="Brdtekst"/>
        <w:spacing w:before="9"/>
      </w:pPr>
    </w:p>
    <w:p w:rsidR="00BD5D89" w:rsidRPr="00EE1E1E" w:rsidRDefault="00486C3C">
      <w:pPr>
        <w:pStyle w:val="Listeafsnit"/>
        <w:numPr>
          <w:ilvl w:val="0"/>
          <w:numId w:val="2"/>
        </w:numPr>
        <w:tabs>
          <w:tab w:val="left" w:pos="508"/>
        </w:tabs>
        <w:spacing w:line="295" w:lineRule="auto"/>
        <w:ind w:left="112" w:right="440" w:hanging="1"/>
        <w:rPr>
          <w:sz w:val="20"/>
          <w:szCs w:val="20"/>
        </w:rPr>
      </w:pPr>
      <w:r w:rsidRPr="00EE1E1E">
        <w:rPr>
          <w:sz w:val="20"/>
          <w:szCs w:val="20"/>
        </w:rPr>
        <w:t xml:space="preserve">Uanset at Radio- og tv-nævnet pålægger bod i henhold til punkt 11 til 13, kan nævnet tillige inddrage tilladelsen </w:t>
      </w:r>
      <w:r w:rsidR="00064EF9" w:rsidRPr="00EE1E1E">
        <w:rPr>
          <w:sz w:val="20"/>
          <w:szCs w:val="20"/>
        </w:rPr>
        <w:t>i henhold til bekendtgørelsen § 2</w:t>
      </w:r>
      <w:r w:rsidR="00642170" w:rsidRPr="00EE1E1E">
        <w:rPr>
          <w:sz w:val="20"/>
          <w:szCs w:val="20"/>
        </w:rPr>
        <w:t>3</w:t>
      </w:r>
      <w:r w:rsidR="00064EF9" w:rsidRPr="00EE1E1E">
        <w:rPr>
          <w:sz w:val="20"/>
          <w:szCs w:val="20"/>
        </w:rPr>
        <w:t>, stk. 2,</w:t>
      </w:r>
      <w:r w:rsidR="00813ED2" w:rsidRPr="00EE1E1E">
        <w:rPr>
          <w:sz w:val="20"/>
          <w:szCs w:val="20"/>
        </w:rPr>
        <w:t xml:space="preserve"> </w:t>
      </w:r>
      <w:r w:rsidR="00064EF9" w:rsidRPr="00EE1E1E">
        <w:rPr>
          <w:sz w:val="20"/>
          <w:szCs w:val="20"/>
        </w:rPr>
        <w:t>hvis tilladelseshaver tilsidesætter de vilkår, tilladelsen er meddelt på, eller hvis tilladelseshaver i forbindelse med skønhedskonkurrencen og udstedelse</w:t>
      </w:r>
      <w:r w:rsidR="00642170" w:rsidRPr="00EE1E1E">
        <w:rPr>
          <w:sz w:val="20"/>
          <w:szCs w:val="20"/>
        </w:rPr>
        <w:t xml:space="preserve"> af tilladelsen </w:t>
      </w:r>
      <w:r w:rsidR="00064EF9" w:rsidRPr="00EE1E1E">
        <w:rPr>
          <w:sz w:val="20"/>
          <w:szCs w:val="20"/>
        </w:rPr>
        <w:t>har afgivet urigtige</w:t>
      </w:r>
      <w:r w:rsidR="00064EF9" w:rsidRPr="00EE1E1E">
        <w:rPr>
          <w:spacing w:val="-35"/>
          <w:sz w:val="20"/>
          <w:szCs w:val="20"/>
        </w:rPr>
        <w:t xml:space="preserve"> </w:t>
      </w:r>
      <w:r w:rsidR="00064EF9" w:rsidRPr="00EE1E1E">
        <w:rPr>
          <w:sz w:val="20"/>
          <w:szCs w:val="20"/>
        </w:rPr>
        <w:t>oplysninger.</w:t>
      </w:r>
      <w:r w:rsidR="00813ED2" w:rsidRPr="00EE1E1E">
        <w:rPr>
          <w:sz w:val="20"/>
          <w:szCs w:val="20"/>
        </w:rPr>
        <w:t xml:space="preserve"> </w:t>
      </w:r>
      <w:r w:rsidR="00035D9E" w:rsidRPr="00EE1E1E">
        <w:rPr>
          <w:sz w:val="20"/>
          <w:szCs w:val="20"/>
        </w:rPr>
        <w:t xml:space="preserve"> Nævnet lægger ved afgørelse herom vægt på tilsidesættelsens karakter.</w:t>
      </w:r>
    </w:p>
    <w:p w:rsidR="00813ED2" w:rsidRPr="00EE1E1E" w:rsidRDefault="00813ED2" w:rsidP="00486C3C">
      <w:pPr>
        <w:pStyle w:val="Listeafsnit"/>
        <w:tabs>
          <w:tab w:val="left" w:pos="508"/>
        </w:tabs>
        <w:spacing w:line="295" w:lineRule="auto"/>
        <w:ind w:left="112" w:right="440"/>
        <w:rPr>
          <w:sz w:val="20"/>
          <w:szCs w:val="20"/>
        </w:rPr>
      </w:pPr>
    </w:p>
    <w:p w:rsidR="0059354B" w:rsidRPr="00EE1E1E" w:rsidRDefault="00064EF9">
      <w:pPr>
        <w:pStyle w:val="Brdtekst"/>
        <w:spacing w:before="142" w:line="295" w:lineRule="auto"/>
        <w:ind w:left="4053" w:right="3977" w:firstLine="5"/>
        <w:jc w:val="center"/>
      </w:pPr>
      <w:r w:rsidRPr="00EE1E1E">
        <w:t xml:space="preserve">Kapitel 5 </w:t>
      </w:r>
    </w:p>
    <w:p w:rsidR="00BD5D89" w:rsidRPr="00EE1E1E" w:rsidRDefault="00064EF9">
      <w:pPr>
        <w:pStyle w:val="Brdtekst"/>
        <w:spacing w:before="142" w:line="295" w:lineRule="auto"/>
        <w:ind w:left="4053" w:right="3977" w:firstLine="5"/>
        <w:jc w:val="center"/>
      </w:pPr>
      <w:r w:rsidRPr="00EE1E1E">
        <w:t>Aftalens</w:t>
      </w:r>
      <w:r w:rsidRPr="00EE1E1E">
        <w:rPr>
          <w:spacing w:val="-8"/>
        </w:rPr>
        <w:t xml:space="preserve"> </w:t>
      </w:r>
      <w:r w:rsidRPr="00EE1E1E">
        <w:t>varighed</w:t>
      </w:r>
    </w:p>
    <w:p w:rsidR="00BD5D89" w:rsidRPr="00EE1E1E" w:rsidRDefault="00BD5D89">
      <w:pPr>
        <w:pStyle w:val="Brdtekst"/>
        <w:spacing w:before="9"/>
      </w:pPr>
    </w:p>
    <w:p w:rsidR="00642170" w:rsidRPr="00EE1E1E" w:rsidRDefault="00064EF9" w:rsidP="00642170">
      <w:pPr>
        <w:pStyle w:val="Listeafsnit"/>
        <w:numPr>
          <w:ilvl w:val="0"/>
          <w:numId w:val="2"/>
        </w:numPr>
        <w:tabs>
          <w:tab w:val="left" w:pos="508"/>
        </w:tabs>
        <w:spacing w:before="9" w:line="295" w:lineRule="auto"/>
        <w:ind w:right="173" w:firstLine="0"/>
        <w:rPr>
          <w:sz w:val="20"/>
          <w:szCs w:val="20"/>
        </w:rPr>
      </w:pPr>
      <w:r w:rsidRPr="00EE1E1E">
        <w:rPr>
          <w:sz w:val="20"/>
          <w:szCs w:val="20"/>
        </w:rPr>
        <w:t xml:space="preserve">Denne aftale knytter sig til den tilladelse til at distribuere </w:t>
      </w:r>
      <w:r w:rsidR="00642170" w:rsidRPr="00EE1E1E">
        <w:rPr>
          <w:sz w:val="20"/>
          <w:szCs w:val="20"/>
        </w:rPr>
        <w:t xml:space="preserve">jordbaserede digitale tv-sendemuligheder, som </w:t>
      </w:r>
      <w:r w:rsidRPr="00EE1E1E">
        <w:rPr>
          <w:sz w:val="20"/>
          <w:szCs w:val="20"/>
        </w:rPr>
        <w:t xml:space="preserve">Radio- og tv-nævnet i medfør af lovens § 3, stk. 1, og bekendtgørelsens § </w:t>
      </w:r>
      <w:r w:rsidR="00642170" w:rsidRPr="00EE1E1E">
        <w:rPr>
          <w:sz w:val="20"/>
          <w:szCs w:val="20"/>
        </w:rPr>
        <w:t>19</w:t>
      </w:r>
      <w:r w:rsidRPr="00EE1E1E">
        <w:rPr>
          <w:sz w:val="20"/>
          <w:szCs w:val="20"/>
        </w:rPr>
        <w:t>, stk. 1,</w:t>
      </w:r>
      <w:r w:rsidR="003262FF" w:rsidRPr="00EE1E1E">
        <w:rPr>
          <w:sz w:val="20"/>
          <w:szCs w:val="20"/>
        </w:rPr>
        <w:t xml:space="preserve"> har udstedt til tilladelseshaver</w:t>
      </w:r>
      <w:r w:rsidRPr="00EE1E1E">
        <w:rPr>
          <w:sz w:val="20"/>
          <w:szCs w:val="20"/>
        </w:rPr>
        <w:t xml:space="preserve"> og har samme varighed som tilladelsen. Aftalen udløber således den 3</w:t>
      </w:r>
      <w:r w:rsidR="00642170" w:rsidRPr="00EE1E1E">
        <w:rPr>
          <w:sz w:val="20"/>
          <w:szCs w:val="20"/>
        </w:rPr>
        <w:t xml:space="preserve">0. juni 2030. </w:t>
      </w:r>
    </w:p>
    <w:p w:rsidR="00642170" w:rsidRPr="00EE1E1E" w:rsidRDefault="00642170" w:rsidP="00642170">
      <w:pPr>
        <w:pStyle w:val="Listeafsnit"/>
        <w:tabs>
          <w:tab w:val="left" w:pos="508"/>
        </w:tabs>
        <w:spacing w:before="9" w:line="295" w:lineRule="auto"/>
        <w:ind w:right="173"/>
        <w:rPr>
          <w:sz w:val="20"/>
          <w:szCs w:val="20"/>
        </w:rPr>
      </w:pPr>
    </w:p>
    <w:p w:rsidR="00BD5D89" w:rsidRPr="00EE1E1E" w:rsidRDefault="00642170" w:rsidP="00642170">
      <w:pPr>
        <w:pStyle w:val="Listeafsnit"/>
        <w:numPr>
          <w:ilvl w:val="0"/>
          <w:numId w:val="2"/>
        </w:numPr>
        <w:tabs>
          <w:tab w:val="left" w:pos="508"/>
        </w:tabs>
        <w:spacing w:before="9" w:line="295" w:lineRule="auto"/>
        <w:ind w:right="173" w:firstLine="0"/>
        <w:rPr>
          <w:sz w:val="20"/>
          <w:szCs w:val="20"/>
        </w:rPr>
      </w:pPr>
      <w:r w:rsidRPr="00EE1E1E">
        <w:rPr>
          <w:sz w:val="20"/>
          <w:szCs w:val="20"/>
        </w:rPr>
        <w:t xml:space="preserve">Aftalen er </w:t>
      </w:r>
      <w:r w:rsidR="00064EF9" w:rsidRPr="00EE1E1E">
        <w:rPr>
          <w:sz w:val="20"/>
          <w:szCs w:val="20"/>
        </w:rPr>
        <w:t xml:space="preserve">uopsigelig i aftaleperioden, og bortfalder i denne periode kun, hvis tilladelsen til distribution af </w:t>
      </w:r>
      <w:r w:rsidRPr="00EE1E1E">
        <w:rPr>
          <w:sz w:val="20"/>
          <w:szCs w:val="20"/>
        </w:rPr>
        <w:t xml:space="preserve">jordbaserede digitale tv-sendemuligheder </w:t>
      </w:r>
      <w:r w:rsidR="00064EF9" w:rsidRPr="00EE1E1E">
        <w:rPr>
          <w:sz w:val="20"/>
          <w:szCs w:val="20"/>
        </w:rPr>
        <w:t>inddrages jf. bekendtgørelsens § 2</w:t>
      </w:r>
      <w:r w:rsidRPr="00EE1E1E">
        <w:rPr>
          <w:sz w:val="20"/>
          <w:szCs w:val="20"/>
        </w:rPr>
        <w:t>3</w:t>
      </w:r>
      <w:r w:rsidR="00064EF9" w:rsidRPr="00EE1E1E">
        <w:rPr>
          <w:sz w:val="20"/>
          <w:szCs w:val="20"/>
        </w:rPr>
        <w:t>, stk. 2, eller hvis tilladelseshaver indleverer</w:t>
      </w:r>
      <w:r w:rsidR="00064EF9" w:rsidRPr="00EE1E1E">
        <w:rPr>
          <w:spacing w:val="-9"/>
          <w:sz w:val="20"/>
          <w:szCs w:val="20"/>
        </w:rPr>
        <w:t xml:space="preserve"> </w:t>
      </w:r>
      <w:r w:rsidR="00064EF9" w:rsidRPr="00EE1E1E">
        <w:rPr>
          <w:sz w:val="20"/>
          <w:szCs w:val="20"/>
        </w:rPr>
        <w:t>tilladelsen</w:t>
      </w:r>
    </w:p>
    <w:p w:rsidR="00BD5D89" w:rsidRPr="00EE1E1E" w:rsidRDefault="00BD5D89">
      <w:pPr>
        <w:pStyle w:val="Brdtekst"/>
        <w:spacing w:before="9"/>
      </w:pPr>
    </w:p>
    <w:p w:rsidR="00BD5D89" w:rsidRPr="00EE1E1E" w:rsidRDefault="00642170">
      <w:pPr>
        <w:pStyle w:val="Listeafsnit"/>
        <w:numPr>
          <w:ilvl w:val="0"/>
          <w:numId w:val="2"/>
        </w:numPr>
        <w:tabs>
          <w:tab w:val="left" w:pos="508"/>
        </w:tabs>
        <w:spacing w:line="295" w:lineRule="auto"/>
        <w:ind w:right="626" w:firstLine="0"/>
        <w:rPr>
          <w:sz w:val="20"/>
          <w:szCs w:val="20"/>
        </w:rPr>
      </w:pPr>
      <w:r w:rsidRPr="00EE1E1E">
        <w:rPr>
          <w:sz w:val="20"/>
          <w:szCs w:val="20"/>
        </w:rPr>
        <w:t xml:space="preserve">Såvel Radio- og tv-nævnet som </w:t>
      </w:r>
      <w:r w:rsidR="00064EF9" w:rsidRPr="00EE1E1E">
        <w:rPr>
          <w:sz w:val="20"/>
          <w:szCs w:val="20"/>
        </w:rPr>
        <w:t>tilladelseshaver kan skriftligt fremsætte ønske om, at nærværende aftale ændre</w:t>
      </w:r>
      <w:r w:rsidRPr="00EE1E1E">
        <w:rPr>
          <w:sz w:val="20"/>
          <w:szCs w:val="20"/>
        </w:rPr>
        <w:t xml:space="preserve">s. Hvis Radio- og tv-nævnet og tilladelseshaver </w:t>
      </w:r>
      <w:r w:rsidR="00064EF9" w:rsidRPr="00EE1E1E">
        <w:rPr>
          <w:sz w:val="20"/>
          <w:szCs w:val="20"/>
        </w:rPr>
        <w:t>opnår enighed herom, kan nærværende aftale erstattes eller suppleres i løbet af</w:t>
      </w:r>
      <w:r w:rsidR="00064EF9" w:rsidRPr="00EE1E1E">
        <w:rPr>
          <w:spacing w:val="-32"/>
          <w:sz w:val="20"/>
          <w:szCs w:val="20"/>
        </w:rPr>
        <w:t xml:space="preserve"> </w:t>
      </w:r>
      <w:r w:rsidR="00064EF9" w:rsidRPr="00EE1E1E">
        <w:rPr>
          <w:sz w:val="20"/>
          <w:szCs w:val="20"/>
        </w:rPr>
        <w:t>aftaleperioden.</w:t>
      </w:r>
    </w:p>
    <w:p w:rsidR="00BD5D89" w:rsidRPr="00EE1E1E" w:rsidRDefault="00BD5D89">
      <w:pPr>
        <w:pStyle w:val="Brdtekst"/>
        <w:spacing w:before="9"/>
      </w:pPr>
    </w:p>
    <w:p w:rsidR="00BD5D89" w:rsidRPr="00EE1E1E" w:rsidRDefault="00064EF9">
      <w:pPr>
        <w:pStyle w:val="Listeafsnit"/>
        <w:numPr>
          <w:ilvl w:val="0"/>
          <w:numId w:val="2"/>
        </w:numPr>
        <w:tabs>
          <w:tab w:val="left" w:pos="508"/>
        </w:tabs>
        <w:spacing w:line="295" w:lineRule="auto"/>
        <w:ind w:right="486" w:firstLine="0"/>
        <w:rPr>
          <w:sz w:val="20"/>
          <w:szCs w:val="20"/>
        </w:rPr>
      </w:pPr>
      <w:r w:rsidRPr="00EE1E1E">
        <w:rPr>
          <w:sz w:val="20"/>
          <w:szCs w:val="20"/>
        </w:rPr>
        <w:t>Denne aftale findes i to originale eksemplarer, hvoraf hver af parterne har modtaget et eksemplar.</w:t>
      </w:r>
    </w:p>
    <w:p w:rsidR="00BD5D89" w:rsidRPr="00EE1E1E" w:rsidRDefault="00BD5D89">
      <w:pPr>
        <w:pStyle w:val="Brdtekst"/>
        <w:spacing w:before="6"/>
      </w:pPr>
    </w:p>
    <w:p w:rsidR="00BD5D89" w:rsidRPr="00EE1E1E" w:rsidRDefault="00064EF9">
      <w:pPr>
        <w:pStyle w:val="Brdtekst"/>
        <w:spacing w:before="64"/>
        <w:ind w:left="112" w:right="83"/>
      </w:pPr>
      <w:r w:rsidRPr="00EE1E1E">
        <w:t xml:space="preserve">København, den </w:t>
      </w:r>
      <w:r w:rsidR="000D466C" w:rsidRPr="00EE1E1E">
        <w:t xml:space="preserve">____ </w:t>
      </w:r>
      <w:r w:rsidRPr="00EE1E1E">
        <w:t>201</w:t>
      </w:r>
      <w:r w:rsidR="00642170" w:rsidRPr="00EE1E1E">
        <w:t>8</w:t>
      </w:r>
    </w:p>
    <w:p w:rsidR="00206CE2" w:rsidRPr="00EE1E1E" w:rsidRDefault="00206CE2">
      <w:pPr>
        <w:pStyle w:val="Brdtekst"/>
        <w:spacing w:before="64"/>
        <w:ind w:left="112" w:right="83"/>
      </w:pPr>
    </w:p>
    <w:p w:rsidR="009C5915" w:rsidRPr="00EE1E1E" w:rsidRDefault="009C5915">
      <w:pPr>
        <w:pStyle w:val="Brdtekst"/>
        <w:spacing w:before="64"/>
        <w:ind w:left="112" w:right="83"/>
      </w:pPr>
    </w:p>
    <w:p w:rsidR="00206CE2" w:rsidRPr="00EE1E1E" w:rsidRDefault="00206CE2">
      <w:pPr>
        <w:pStyle w:val="Brdtekst"/>
        <w:spacing w:before="64"/>
        <w:ind w:left="112" w:right="83"/>
      </w:pPr>
    </w:p>
    <w:p w:rsidR="00206CE2" w:rsidRPr="00EE1E1E" w:rsidRDefault="00206CE2">
      <w:pPr>
        <w:pStyle w:val="Brdtekst"/>
        <w:spacing w:before="64"/>
        <w:ind w:left="112" w:right="83"/>
      </w:pPr>
    </w:p>
    <w:p w:rsidR="00206CE2" w:rsidRPr="00EE1E1E" w:rsidRDefault="009C5915">
      <w:pPr>
        <w:pStyle w:val="Brdtekst"/>
        <w:spacing w:before="64"/>
        <w:ind w:left="112" w:right="83"/>
      </w:pPr>
      <w:r w:rsidRPr="00EE1E1E">
        <w:t>____________________________</w:t>
      </w:r>
      <w:proofErr w:type="gramStart"/>
      <w:r w:rsidRPr="00EE1E1E">
        <w:t xml:space="preserve">_           </w:t>
      </w:r>
      <w:r w:rsidR="0059354B" w:rsidRPr="00EE1E1E">
        <w:t>_</w:t>
      </w:r>
      <w:proofErr w:type="gramEnd"/>
      <w:r w:rsidR="0059354B" w:rsidRPr="00EE1E1E">
        <w:t>___</w:t>
      </w:r>
      <w:r w:rsidRPr="00EE1E1E">
        <w:t>_____________________________</w:t>
      </w:r>
    </w:p>
    <w:p w:rsidR="0059354B" w:rsidRPr="00EE1E1E" w:rsidRDefault="0059354B" w:rsidP="0059354B">
      <w:pPr>
        <w:pStyle w:val="Brdtekst"/>
        <w:spacing w:before="64"/>
        <w:ind w:left="4320" w:right="83" w:hanging="4208"/>
      </w:pPr>
      <w:r w:rsidRPr="00EE1E1E">
        <w:t>Ansøger</w:t>
      </w:r>
      <w:r w:rsidRPr="00EE1E1E">
        <w:tab/>
      </w:r>
      <w:r w:rsidRPr="00EE1E1E">
        <w:tab/>
        <w:t>R</w:t>
      </w:r>
      <w:r w:rsidR="009C5915" w:rsidRPr="00EE1E1E">
        <w:t>adio- og tv-nævnet</w:t>
      </w:r>
      <w:proofErr w:type="gramStart"/>
      <w:r w:rsidR="009C5915" w:rsidRPr="00EE1E1E">
        <w:t xml:space="preserve"> (underskrives ved</w:t>
      </w:r>
      <w:proofErr w:type="gramEnd"/>
      <w:r w:rsidR="009C5915" w:rsidRPr="00EE1E1E">
        <w:t xml:space="preserve"> </w:t>
      </w:r>
    </w:p>
    <w:p w:rsidR="00206CE2" w:rsidRPr="00EE1E1E" w:rsidRDefault="0059354B" w:rsidP="0059354B">
      <w:pPr>
        <w:pStyle w:val="Brdtekst"/>
        <w:spacing w:before="64"/>
        <w:ind w:left="4320" w:right="83" w:hanging="4208"/>
        <w:rPr>
          <w:sz w:val="22"/>
          <w:szCs w:val="22"/>
        </w:rPr>
      </w:pPr>
      <w:r w:rsidRPr="00EE1E1E">
        <w:tab/>
      </w:r>
      <w:r w:rsidRPr="00EE1E1E">
        <w:tab/>
      </w:r>
      <w:r w:rsidR="009C5915" w:rsidRPr="00EE1E1E">
        <w:t>indgåelse af endelig bodsaftale</w:t>
      </w:r>
      <w:r w:rsidRPr="00EE1E1E">
        <w:rPr>
          <w:sz w:val="22"/>
          <w:szCs w:val="22"/>
        </w:rPr>
        <w:t>)</w:t>
      </w:r>
    </w:p>
    <w:sectPr w:rsidR="00206CE2" w:rsidRPr="00EE1E1E" w:rsidSect="00695614">
      <w:headerReference w:type="default" r:id="rId9"/>
      <w:pgSz w:w="11910" w:h="16840"/>
      <w:pgMar w:top="1580" w:right="1100" w:bottom="1843" w:left="10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BF6" w:rsidRDefault="009F7BF6" w:rsidP="009F7BF6">
      <w:r>
        <w:separator/>
      </w:r>
    </w:p>
  </w:endnote>
  <w:endnote w:type="continuationSeparator" w:id="0">
    <w:p w:rsidR="009F7BF6" w:rsidRDefault="009F7BF6" w:rsidP="009F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LAHJ+Garamond">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BF6" w:rsidRDefault="009F7BF6" w:rsidP="009F7BF6">
      <w:r>
        <w:separator/>
      </w:r>
    </w:p>
  </w:footnote>
  <w:footnote w:type="continuationSeparator" w:id="0">
    <w:p w:rsidR="009F7BF6" w:rsidRDefault="009F7BF6" w:rsidP="009F7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BF6" w:rsidRDefault="00E84098" w:rsidP="000614C5">
    <w:pPr>
      <w:pStyle w:val="Sidehoved"/>
      <w:ind w:right="-1100"/>
      <w:jc w:val="right"/>
    </w:pPr>
    <w:r>
      <w:rPr>
        <w:noProof/>
        <w:lang w:eastAsia="da-DK"/>
      </w:rPr>
      <w:drawing>
        <wp:anchor distT="0" distB="0" distL="114300" distR="114300" simplePos="0" relativeHeight="251659264" behindDoc="0" locked="0" layoutInCell="1" allowOverlap="1" wp14:anchorId="1B201D3C" wp14:editId="3A0E36C0">
          <wp:simplePos x="0" y="0"/>
          <wp:positionH relativeFrom="page">
            <wp:posOffset>5098415</wp:posOffset>
          </wp:positionH>
          <wp:positionV relativeFrom="page">
            <wp:posOffset>287020</wp:posOffset>
          </wp:positionV>
          <wp:extent cx="1781175" cy="600075"/>
          <wp:effectExtent l="0" t="0" r="9525" b="9525"/>
          <wp:wrapNone/>
          <wp:docPr id="7"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1736F"/>
    <w:multiLevelType w:val="hybridMultilevel"/>
    <w:tmpl w:val="8C6C9D02"/>
    <w:lvl w:ilvl="0" w:tplc="CF0450FC">
      <w:start w:val="1"/>
      <w:numFmt w:val="bullet"/>
      <w:lvlText w:val="·"/>
      <w:lvlJc w:val="left"/>
      <w:pPr>
        <w:ind w:left="251" w:hanging="142"/>
      </w:pPr>
      <w:rPr>
        <w:rFonts w:ascii="Verdana" w:eastAsia="Verdana" w:hAnsi="Verdana" w:cs="Verdana" w:hint="default"/>
        <w:w w:val="99"/>
        <w:sz w:val="20"/>
        <w:szCs w:val="20"/>
      </w:rPr>
    </w:lvl>
    <w:lvl w:ilvl="1" w:tplc="3C9218DE">
      <w:start w:val="1"/>
      <w:numFmt w:val="bullet"/>
      <w:lvlText w:val="•"/>
      <w:lvlJc w:val="left"/>
      <w:pPr>
        <w:ind w:left="1216" w:hanging="142"/>
      </w:pPr>
      <w:rPr>
        <w:rFonts w:hint="default"/>
      </w:rPr>
    </w:lvl>
    <w:lvl w:ilvl="2" w:tplc="587890D6">
      <w:start w:val="1"/>
      <w:numFmt w:val="bullet"/>
      <w:lvlText w:val="•"/>
      <w:lvlJc w:val="left"/>
      <w:pPr>
        <w:ind w:left="2173" w:hanging="142"/>
      </w:pPr>
      <w:rPr>
        <w:rFonts w:hint="default"/>
      </w:rPr>
    </w:lvl>
    <w:lvl w:ilvl="3" w:tplc="E954CCE0">
      <w:start w:val="1"/>
      <w:numFmt w:val="bullet"/>
      <w:lvlText w:val="•"/>
      <w:lvlJc w:val="left"/>
      <w:pPr>
        <w:ind w:left="3129" w:hanging="142"/>
      </w:pPr>
      <w:rPr>
        <w:rFonts w:hint="default"/>
      </w:rPr>
    </w:lvl>
    <w:lvl w:ilvl="4" w:tplc="345072B6">
      <w:start w:val="1"/>
      <w:numFmt w:val="bullet"/>
      <w:lvlText w:val="•"/>
      <w:lvlJc w:val="left"/>
      <w:pPr>
        <w:ind w:left="4086" w:hanging="142"/>
      </w:pPr>
      <w:rPr>
        <w:rFonts w:hint="default"/>
      </w:rPr>
    </w:lvl>
    <w:lvl w:ilvl="5" w:tplc="2D8E0A16">
      <w:start w:val="1"/>
      <w:numFmt w:val="bullet"/>
      <w:lvlText w:val="•"/>
      <w:lvlJc w:val="left"/>
      <w:pPr>
        <w:ind w:left="5043" w:hanging="142"/>
      </w:pPr>
      <w:rPr>
        <w:rFonts w:hint="default"/>
      </w:rPr>
    </w:lvl>
    <w:lvl w:ilvl="6" w:tplc="4244BF9C">
      <w:start w:val="1"/>
      <w:numFmt w:val="bullet"/>
      <w:lvlText w:val="•"/>
      <w:lvlJc w:val="left"/>
      <w:pPr>
        <w:ind w:left="5999" w:hanging="142"/>
      </w:pPr>
      <w:rPr>
        <w:rFonts w:hint="default"/>
      </w:rPr>
    </w:lvl>
    <w:lvl w:ilvl="7" w:tplc="67F45C68">
      <w:start w:val="1"/>
      <w:numFmt w:val="bullet"/>
      <w:lvlText w:val="•"/>
      <w:lvlJc w:val="left"/>
      <w:pPr>
        <w:ind w:left="6956" w:hanging="142"/>
      </w:pPr>
      <w:rPr>
        <w:rFonts w:hint="default"/>
      </w:rPr>
    </w:lvl>
    <w:lvl w:ilvl="8" w:tplc="59B882EA">
      <w:start w:val="1"/>
      <w:numFmt w:val="bullet"/>
      <w:lvlText w:val="•"/>
      <w:lvlJc w:val="left"/>
      <w:pPr>
        <w:ind w:left="7913" w:hanging="142"/>
      </w:pPr>
      <w:rPr>
        <w:rFonts w:hint="default"/>
      </w:rPr>
    </w:lvl>
  </w:abstractNum>
  <w:abstractNum w:abstractNumId="1">
    <w:nsid w:val="72A32AB1"/>
    <w:multiLevelType w:val="hybridMultilevel"/>
    <w:tmpl w:val="1A30F4F4"/>
    <w:lvl w:ilvl="0" w:tplc="F1C49038">
      <w:start w:val="1"/>
      <w:numFmt w:val="decimal"/>
      <w:lvlText w:val="%1."/>
      <w:lvlJc w:val="left"/>
      <w:pPr>
        <w:ind w:left="111" w:hanging="269"/>
        <w:jc w:val="left"/>
      </w:pPr>
      <w:rPr>
        <w:rFonts w:ascii="Verdana" w:eastAsia="Verdana" w:hAnsi="Verdana" w:cs="Verdana" w:hint="default"/>
        <w:w w:val="99"/>
        <w:sz w:val="20"/>
        <w:szCs w:val="20"/>
      </w:rPr>
    </w:lvl>
    <w:lvl w:ilvl="1" w:tplc="4B60F702">
      <w:start w:val="1"/>
      <w:numFmt w:val="bullet"/>
      <w:lvlText w:val="•"/>
      <w:lvlJc w:val="left"/>
      <w:pPr>
        <w:ind w:left="1086" w:hanging="269"/>
      </w:pPr>
      <w:rPr>
        <w:rFonts w:hint="default"/>
      </w:rPr>
    </w:lvl>
    <w:lvl w:ilvl="2" w:tplc="89D6764A">
      <w:start w:val="1"/>
      <w:numFmt w:val="bullet"/>
      <w:lvlText w:val="•"/>
      <w:lvlJc w:val="left"/>
      <w:pPr>
        <w:ind w:left="2053" w:hanging="269"/>
      </w:pPr>
      <w:rPr>
        <w:rFonts w:hint="default"/>
      </w:rPr>
    </w:lvl>
    <w:lvl w:ilvl="3" w:tplc="8D603CAA">
      <w:start w:val="1"/>
      <w:numFmt w:val="bullet"/>
      <w:lvlText w:val="•"/>
      <w:lvlJc w:val="left"/>
      <w:pPr>
        <w:ind w:left="3019" w:hanging="269"/>
      </w:pPr>
      <w:rPr>
        <w:rFonts w:hint="default"/>
      </w:rPr>
    </w:lvl>
    <w:lvl w:ilvl="4" w:tplc="9AC2989A">
      <w:start w:val="1"/>
      <w:numFmt w:val="bullet"/>
      <w:lvlText w:val="•"/>
      <w:lvlJc w:val="left"/>
      <w:pPr>
        <w:ind w:left="3986" w:hanging="269"/>
      </w:pPr>
      <w:rPr>
        <w:rFonts w:hint="default"/>
      </w:rPr>
    </w:lvl>
    <w:lvl w:ilvl="5" w:tplc="E6A26A92">
      <w:start w:val="1"/>
      <w:numFmt w:val="bullet"/>
      <w:lvlText w:val="•"/>
      <w:lvlJc w:val="left"/>
      <w:pPr>
        <w:ind w:left="4953" w:hanging="269"/>
      </w:pPr>
      <w:rPr>
        <w:rFonts w:hint="default"/>
      </w:rPr>
    </w:lvl>
    <w:lvl w:ilvl="6" w:tplc="F1248274">
      <w:start w:val="1"/>
      <w:numFmt w:val="bullet"/>
      <w:lvlText w:val="•"/>
      <w:lvlJc w:val="left"/>
      <w:pPr>
        <w:ind w:left="5919" w:hanging="269"/>
      </w:pPr>
      <w:rPr>
        <w:rFonts w:hint="default"/>
      </w:rPr>
    </w:lvl>
    <w:lvl w:ilvl="7" w:tplc="4314A532">
      <w:start w:val="1"/>
      <w:numFmt w:val="bullet"/>
      <w:lvlText w:val="•"/>
      <w:lvlJc w:val="left"/>
      <w:pPr>
        <w:ind w:left="6886" w:hanging="269"/>
      </w:pPr>
      <w:rPr>
        <w:rFonts w:hint="default"/>
      </w:rPr>
    </w:lvl>
    <w:lvl w:ilvl="8" w:tplc="DF1A693C">
      <w:start w:val="1"/>
      <w:numFmt w:val="bullet"/>
      <w:lvlText w:val="•"/>
      <w:lvlJc w:val="left"/>
      <w:pPr>
        <w:ind w:left="7853" w:hanging="269"/>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89"/>
    <w:rsid w:val="00035D9E"/>
    <w:rsid w:val="000614C5"/>
    <w:rsid w:val="00064EF9"/>
    <w:rsid w:val="000D466C"/>
    <w:rsid w:val="00113E2F"/>
    <w:rsid w:val="00206CE2"/>
    <w:rsid w:val="002300E8"/>
    <w:rsid w:val="003262FF"/>
    <w:rsid w:val="003501EF"/>
    <w:rsid w:val="00486C3C"/>
    <w:rsid w:val="00511FCB"/>
    <w:rsid w:val="00581EB3"/>
    <w:rsid w:val="0059354B"/>
    <w:rsid w:val="00642170"/>
    <w:rsid w:val="00695614"/>
    <w:rsid w:val="00813ED2"/>
    <w:rsid w:val="00837A0D"/>
    <w:rsid w:val="008E60C8"/>
    <w:rsid w:val="00947D6F"/>
    <w:rsid w:val="009C5915"/>
    <w:rsid w:val="009F7BF6"/>
    <w:rsid w:val="00A17120"/>
    <w:rsid w:val="00AC6FB8"/>
    <w:rsid w:val="00B22C03"/>
    <w:rsid w:val="00BD5D89"/>
    <w:rsid w:val="00C05A60"/>
    <w:rsid w:val="00D048FD"/>
    <w:rsid w:val="00DB0C8B"/>
    <w:rsid w:val="00E84098"/>
    <w:rsid w:val="00EE1E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da-DK"/>
    </w:rPr>
  </w:style>
  <w:style w:type="paragraph" w:styleId="Overskrift1">
    <w:name w:val="heading 1"/>
    <w:basedOn w:val="Normal"/>
    <w:uiPriority w:val="1"/>
    <w:qFormat/>
    <w:pPr>
      <w:spacing w:before="53"/>
      <w:ind w:left="156" w:right="83" w:hanging="1303"/>
      <w:outlineLvl w:val="0"/>
    </w:pPr>
    <w:rPr>
      <w:b/>
      <w:b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0"/>
      <w:szCs w:val="20"/>
    </w:rPr>
  </w:style>
  <w:style w:type="paragraph" w:styleId="Listeafsnit">
    <w:name w:val="List Paragraph"/>
    <w:basedOn w:val="Normal"/>
    <w:uiPriority w:val="1"/>
    <w:qFormat/>
    <w:pPr>
      <w:ind w:left="111"/>
    </w:pPr>
  </w:style>
  <w:style w:type="paragraph" w:customStyle="1" w:styleId="TableParagraph">
    <w:name w:val="Table Paragraph"/>
    <w:basedOn w:val="Normal"/>
    <w:uiPriority w:val="1"/>
    <w:qFormat/>
  </w:style>
  <w:style w:type="paragraph" w:styleId="Markeringsbobletekst">
    <w:name w:val="Balloon Text"/>
    <w:basedOn w:val="Normal"/>
    <w:link w:val="MarkeringsbobletekstTegn"/>
    <w:uiPriority w:val="99"/>
    <w:semiHidden/>
    <w:unhideWhenUsed/>
    <w:rsid w:val="00AC6FB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C6FB8"/>
    <w:rPr>
      <w:rFonts w:ascii="Tahoma" w:eastAsia="Verdana" w:hAnsi="Tahoma" w:cs="Tahoma"/>
      <w:sz w:val="16"/>
      <w:szCs w:val="16"/>
    </w:rPr>
  </w:style>
  <w:style w:type="character" w:styleId="Kommentarhenvisning">
    <w:name w:val="annotation reference"/>
    <w:basedOn w:val="Standardskrifttypeiafsnit"/>
    <w:uiPriority w:val="99"/>
    <w:semiHidden/>
    <w:unhideWhenUsed/>
    <w:rsid w:val="00642170"/>
    <w:rPr>
      <w:sz w:val="16"/>
      <w:szCs w:val="16"/>
    </w:rPr>
  </w:style>
  <w:style w:type="paragraph" w:styleId="Kommentartekst">
    <w:name w:val="annotation text"/>
    <w:basedOn w:val="Normal"/>
    <w:link w:val="KommentartekstTegn"/>
    <w:uiPriority w:val="99"/>
    <w:semiHidden/>
    <w:unhideWhenUsed/>
    <w:rsid w:val="00642170"/>
    <w:rPr>
      <w:sz w:val="20"/>
      <w:szCs w:val="20"/>
    </w:rPr>
  </w:style>
  <w:style w:type="character" w:customStyle="1" w:styleId="KommentartekstTegn">
    <w:name w:val="Kommentartekst Tegn"/>
    <w:basedOn w:val="Standardskrifttypeiafsnit"/>
    <w:link w:val="Kommentartekst"/>
    <w:uiPriority w:val="99"/>
    <w:semiHidden/>
    <w:rsid w:val="00642170"/>
    <w:rPr>
      <w:rFonts w:ascii="Verdana" w:eastAsia="Verdana" w:hAnsi="Verdana" w:cs="Verdana"/>
      <w:sz w:val="20"/>
      <w:szCs w:val="20"/>
    </w:rPr>
  </w:style>
  <w:style w:type="paragraph" w:styleId="Kommentaremne">
    <w:name w:val="annotation subject"/>
    <w:basedOn w:val="Kommentartekst"/>
    <w:next w:val="Kommentartekst"/>
    <w:link w:val="KommentaremneTegn"/>
    <w:uiPriority w:val="99"/>
    <w:semiHidden/>
    <w:unhideWhenUsed/>
    <w:rsid w:val="00642170"/>
    <w:rPr>
      <w:b/>
      <w:bCs/>
    </w:rPr>
  </w:style>
  <w:style w:type="character" w:customStyle="1" w:styleId="KommentaremneTegn">
    <w:name w:val="Kommentaremne Tegn"/>
    <w:basedOn w:val="KommentartekstTegn"/>
    <w:link w:val="Kommentaremne"/>
    <w:uiPriority w:val="99"/>
    <w:semiHidden/>
    <w:rsid w:val="00642170"/>
    <w:rPr>
      <w:rFonts w:ascii="Verdana" w:eastAsia="Verdana" w:hAnsi="Verdana" w:cs="Verdana"/>
      <w:b/>
      <w:bCs/>
      <w:sz w:val="20"/>
      <w:szCs w:val="20"/>
    </w:rPr>
  </w:style>
  <w:style w:type="paragraph" w:styleId="Sidehoved">
    <w:name w:val="header"/>
    <w:basedOn w:val="Normal"/>
    <w:link w:val="SidehovedTegn"/>
    <w:uiPriority w:val="99"/>
    <w:unhideWhenUsed/>
    <w:rsid w:val="009F7BF6"/>
    <w:pPr>
      <w:tabs>
        <w:tab w:val="center" w:pos="4819"/>
        <w:tab w:val="right" w:pos="9638"/>
      </w:tabs>
    </w:pPr>
  </w:style>
  <w:style w:type="character" w:customStyle="1" w:styleId="SidehovedTegn">
    <w:name w:val="Sidehoved Tegn"/>
    <w:basedOn w:val="Standardskrifttypeiafsnit"/>
    <w:link w:val="Sidehoved"/>
    <w:uiPriority w:val="99"/>
    <w:rsid w:val="009F7BF6"/>
    <w:rPr>
      <w:rFonts w:ascii="Verdana" w:eastAsia="Verdana" w:hAnsi="Verdana" w:cs="Verdana"/>
    </w:rPr>
  </w:style>
  <w:style w:type="paragraph" w:styleId="Sidefod">
    <w:name w:val="footer"/>
    <w:basedOn w:val="Normal"/>
    <w:link w:val="SidefodTegn"/>
    <w:uiPriority w:val="99"/>
    <w:unhideWhenUsed/>
    <w:rsid w:val="009F7BF6"/>
    <w:pPr>
      <w:tabs>
        <w:tab w:val="center" w:pos="4819"/>
        <w:tab w:val="right" w:pos="9638"/>
      </w:tabs>
    </w:pPr>
  </w:style>
  <w:style w:type="character" w:customStyle="1" w:styleId="SidefodTegn">
    <w:name w:val="Sidefod Tegn"/>
    <w:basedOn w:val="Standardskrifttypeiafsnit"/>
    <w:link w:val="Sidefod"/>
    <w:uiPriority w:val="99"/>
    <w:rsid w:val="009F7BF6"/>
    <w:rPr>
      <w:rFonts w:ascii="Verdana" w:eastAsia="Verdana" w:hAnsi="Verdana" w:cs="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da-DK"/>
    </w:rPr>
  </w:style>
  <w:style w:type="paragraph" w:styleId="Overskrift1">
    <w:name w:val="heading 1"/>
    <w:basedOn w:val="Normal"/>
    <w:uiPriority w:val="1"/>
    <w:qFormat/>
    <w:pPr>
      <w:spacing w:before="53"/>
      <w:ind w:left="156" w:right="83" w:hanging="1303"/>
      <w:outlineLvl w:val="0"/>
    </w:pPr>
    <w:rPr>
      <w:b/>
      <w:b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0"/>
      <w:szCs w:val="20"/>
    </w:rPr>
  </w:style>
  <w:style w:type="paragraph" w:styleId="Listeafsnit">
    <w:name w:val="List Paragraph"/>
    <w:basedOn w:val="Normal"/>
    <w:uiPriority w:val="1"/>
    <w:qFormat/>
    <w:pPr>
      <w:ind w:left="111"/>
    </w:pPr>
  </w:style>
  <w:style w:type="paragraph" w:customStyle="1" w:styleId="TableParagraph">
    <w:name w:val="Table Paragraph"/>
    <w:basedOn w:val="Normal"/>
    <w:uiPriority w:val="1"/>
    <w:qFormat/>
  </w:style>
  <w:style w:type="paragraph" w:styleId="Markeringsbobletekst">
    <w:name w:val="Balloon Text"/>
    <w:basedOn w:val="Normal"/>
    <w:link w:val="MarkeringsbobletekstTegn"/>
    <w:uiPriority w:val="99"/>
    <w:semiHidden/>
    <w:unhideWhenUsed/>
    <w:rsid w:val="00AC6FB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C6FB8"/>
    <w:rPr>
      <w:rFonts w:ascii="Tahoma" w:eastAsia="Verdana" w:hAnsi="Tahoma" w:cs="Tahoma"/>
      <w:sz w:val="16"/>
      <w:szCs w:val="16"/>
    </w:rPr>
  </w:style>
  <w:style w:type="character" w:styleId="Kommentarhenvisning">
    <w:name w:val="annotation reference"/>
    <w:basedOn w:val="Standardskrifttypeiafsnit"/>
    <w:uiPriority w:val="99"/>
    <w:semiHidden/>
    <w:unhideWhenUsed/>
    <w:rsid w:val="00642170"/>
    <w:rPr>
      <w:sz w:val="16"/>
      <w:szCs w:val="16"/>
    </w:rPr>
  </w:style>
  <w:style w:type="paragraph" w:styleId="Kommentartekst">
    <w:name w:val="annotation text"/>
    <w:basedOn w:val="Normal"/>
    <w:link w:val="KommentartekstTegn"/>
    <w:uiPriority w:val="99"/>
    <w:semiHidden/>
    <w:unhideWhenUsed/>
    <w:rsid w:val="00642170"/>
    <w:rPr>
      <w:sz w:val="20"/>
      <w:szCs w:val="20"/>
    </w:rPr>
  </w:style>
  <w:style w:type="character" w:customStyle="1" w:styleId="KommentartekstTegn">
    <w:name w:val="Kommentartekst Tegn"/>
    <w:basedOn w:val="Standardskrifttypeiafsnit"/>
    <w:link w:val="Kommentartekst"/>
    <w:uiPriority w:val="99"/>
    <w:semiHidden/>
    <w:rsid w:val="00642170"/>
    <w:rPr>
      <w:rFonts w:ascii="Verdana" w:eastAsia="Verdana" w:hAnsi="Verdana" w:cs="Verdana"/>
      <w:sz w:val="20"/>
      <w:szCs w:val="20"/>
    </w:rPr>
  </w:style>
  <w:style w:type="paragraph" w:styleId="Kommentaremne">
    <w:name w:val="annotation subject"/>
    <w:basedOn w:val="Kommentartekst"/>
    <w:next w:val="Kommentartekst"/>
    <w:link w:val="KommentaremneTegn"/>
    <w:uiPriority w:val="99"/>
    <w:semiHidden/>
    <w:unhideWhenUsed/>
    <w:rsid w:val="00642170"/>
    <w:rPr>
      <w:b/>
      <w:bCs/>
    </w:rPr>
  </w:style>
  <w:style w:type="character" w:customStyle="1" w:styleId="KommentaremneTegn">
    <w:name w:val="Kommentaremne Tegn"/>
    <w:basedOn w:val="KommentartekstTegn"/>
    <w:link w:val="Kommentaremne"/>
    <w:uiPriority w:val="99"/>
    <w:semiHidden/>
    <w:rsid w:val="00642170"/>
    <w:rPr>
      <w:rFonts w:ascii="Verdana" w:eastAsia="Verdana" w:hAnsi="Verdana" w:cs="Verdana"/>
      <w:b/>
      <w:bCs/>
      <w:sz w:val="20"/>
      <w:szCs w:val="20"/>
    </w:rPr>
  </w:style>
  <w:style w:type="paragraph" w:styleId="Sidehoved">
    <w:name w:val="header"/>
    <w:basedOn w:val="Normal"/>
    <w:link w:val="SidehovedTegn"/>
    <w:uiPriority w:val="99"/>
    <w:unhideWhenUsed/>
    <w:rsid w:val="009F7BF6"/>
    <w:pPr>
      <w:tabs>
        <w:tab w:val="center" w:pos="4819"/>
        <w:tab w:val="right" w:pos="9638"/>
      </w:tabs>
    </w:pPr>
  </w:style>
  <w:style w:type="character" w:customStyle="1" w:styleId="SidehovedTegn">
    <w:name w:val="Sidehoved Tegn"/>
    <w:basedOn w:val="Standardskrifttypeiafsnit"/>
    <w:link w:val="Sidehoved"/>
    <w:uiPriority w:val="99"/>
    <w:rsid w:val="009F7BF6"/>
    <w:rPr>
      <w:rFonts w:ascii="Verdana" w:eastAsia="Verdana" w:hAnsi="Verdana" w:cs="Verdana"/>
    </w:rPr>
  </w:style>
  <w:style w:type="paragraph" w:styleId="Sidefod">
    <w:name w:val="footer"/>
    <w:basedOn w:val="Normal"/>
    <w:link w:val="SidefodTegn"/>
    <w:uiPriority w:val="99"/>
    <w:unhideWhenUsed/>
    <w:rsid w:val="009F7BF6"/>
    <w:pPr>
      <w:tabs>
        <w:tab w:val="center" w:pos="4819"/>
        <w:tab w:val="right" w:pos="9638"/>
      </w:tabs>
    </w:pPr>
  </w:style>
  <w:style w:type="character" w:customStyle="1" w:styleId="SidefodTegn">
    <w:name w:val="Sidefod Tegn"/>
    <w:basedOn w:val="Standardskrifttypeiafsnit"/>
    <w:link w:val="Sidefod"/>
    <w:uiPriority w:val="99"/>
    <w:rsid w:val="009F7BF6"/>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8652A-5513-4E12-B412-511B0540C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1260</Words>
  <Characters>7565</Characters>
  <Application>Microsoft Office Word</Application>
  <DocSecurity>0</DocSecurity>
  <Lines>171</Lines>
  <Paragraphs>62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Jette Fievé</dc:creator>
  <cp:lastModifiedBy>Ulrike Clade Christensen</cp:lastModifiedBy>
  <cp:revision>6</cp:revision>
  <cp:lastPrinted>2017-11-29T15:39:00Z</cp:lastPrinted>
  <dcterms:created xsi:type="dcterms:W3CDTF">2017-12-07T10:43:00Z</dcterms:created>
  <dcterms:modified xsi:type="dcterms:W3CDTF">2017-12-13T12:11:00Z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2016-06-30T00:00:00Z</vt:filetime>
  </property>
  <property fmtid="{D5CDD505-2E9C-101B-9397-08002B2CF9AE}" pid="3" name="Creator">
    <vt:lpwstr>Acrobat PDFMaker 15 til Word</vt:lpwstr>
  </property>
  <property fmtid="{D5CDD505-2E9C-101B-9397-08002B2CF9AE}" pid="4" name="LastSaved">
    <vt:filetime>2016-07-04T00:00:00Z</vt:filetime>
  </property>
  <property fmtid="{D5CDD505-2E9C-101B-9397-08002B2CF9AE}" pid="5" name="ContentRemapped">
    <vt:lpwstr>true</vt:lpwstr>
  </property>
  <property fmtid="{D5CDD505-2E9C-101B-9397-08002B2CF9AE}" pid="6" name="SD_DocumentLanguage">
    <vt:lpwstr>da-DK</vt:lpwstr>
  </property>
</Properties>
</file>